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320" w:hanging="320" w:hangingChars="10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终止/暂停研究报告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80"/>
        <w:gridCol w:w="1882"/>
        <w:gridCol w:w="247"/>
        <w:gridCol w:w="1381"/>
        <w:gridCol w:w="745"/>
        <w:gridCol w:w="2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</w:rPr>
              <w:t>项目名称</w:t>
            </w:r>
          </w:p>
        </w:tc>
        <w:tc>
          <w:tcPr>
            <w:tcW w:w="379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申办方</w:t>
            </w:r>
          </w:p>
        </w:tc>
        <w:tc>
          <w:tcPr>
            <w:tcW w:w="379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研究者</w:t>
            </w:r>
          </w:p>
        </w:tc>
        <w:tc>
          <w:tcPr>
            <w:tcW w:w="11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spacing w:val="20"/>
              </w:rPr>
            </w:pPr>
          </w:p>
        </w:tc>
        <w:tc>
          <w:tcPr>
            <w:tcW w:w="95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spacing w:val="20"/>
              </w:rPr>
            </w:pPr>
            <w:r>
              <w:rPr>
                <w:rFonts w:hint="eastAsia" w:ascii="宋体" w:hAnsi="宋体"/>
                <w:color w:val="000000"/>
              </w:rPr>
              <w:t>承担科室</w:t>
            </w:r>
          </w:p>
        </w:tc>
        <w:tc>
          <w:tcPr>
            <w:tcW w:w="16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2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一、一般信息</w:t>
            </w:r>
          </w:p>
          <w:p>
            <w:pPr>
              <w:autoSpaceDE w:val="0"/>
              <w:spacing w:line="360" w:lineRule="auto"/>
              <w:ind w:left="210" w:hanging="210" w:hangingChars="100"/>
              <w:rPr>
                <w:rFonts w:hint="eastAsia"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hint="eastAsia" w:ascii="宋体" w:hAnsi="宋体"/>
                <w:color w:val="000000"/>
              </w:rPr>
              <w:t xml:space="preserve">研究阶段：□尚未入组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 xml:space="preserve">□已入组，正在实施研究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□完成入组，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>研究干预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auto"/>
              <w:ind w:left="315" w:leftChars="50" w:hanging="210" w:hangingChars="100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尚未完成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color w:val="000000"/>
              </w:rPr>
              <w:t>□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的研究干预已经完成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</w:rPr>
              <w:t>□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的随访已经完成 </w:t>
            </w:r>
            <w:r>
              <w:rPr>
                <w:rFonts w:ascii="宋体" w:hAnsi="宋体"/>
                <w:color w:val="000000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auto"/>
              <w:ind w:left="105" w:leftChars="50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□后期数据处理阶段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hint="eastAsia" w:ascii="宋体" w:hAnsi="宋体"/>
                <w:color w:val="000000"/>
              </w:rPr>
              <w:t>研究开始日期：_________________（未启动填写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不适用</w:t>
            </w:r>
            <w:r>
              <w:rPr>
                <w:rFonts w:hint="eastAsia" w:ascii="宋体" w:hAnsi="宋体"/>
                <w:color w:val="000000"/>
              </w:rPr>
              <w:t>）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hint="eastAsia" w:ascii="宋体" w:hAnsi="宋体"/>
                <w:color w:val="000000"/>
              </w:rPr>
              <w:t xml:space="preserve">研究报告提出者：□申办者 </w:t>
            </w:r>
            <w:r>
              <w:rPr>
                <w:rFonts w:ascii="宋体" w:hAnsi="宋体"/>
                <w:color w:val="000000"/>
              </w:rPr>
              <w:t xml:space="preserve">    </w:t>
            </w:r>
            <w:r>
              <w:rPr>
                <w:rFonts w:hint="eastAsia" w:ascii="宋体" w:hAnsi="宋体"/>
                <w:color w:val="000000"/>
              </w:rPr>
              <w:t>□研究者</w:t>
            </w:r>
          </w:p>
          <w:p>
            <w:pPr>
              <w:autoSpaceDE w:val="0"/>
              <w:spacing w:line="360" w:lineRule="auto"/>
              <w:rPr>
                <w:rFonts w:eastAsia="仿宋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hint="eastAsia" w:ascii="宋体" w:hAnsi="宋体"/>
                <w:color w:val="000000"/>
              </w:rPr>
              <w:t xml:space="preserve">研究报告申请类型：□暂停 </w:t>
            </w:r>
            <w:r>
              <w:rPr>
                <w:rFonts w:ascii="宋体" w:hAnsi="宋体"/>
                <w:color w:val="000000"/>
              </w:rPr>
              <w:t xml:space="preserve">    </w:t>
            </w:r>
            <w:r>
              <w:rPr>
                <w:rFonts w:hint="eastAsia" w:ascii="宋体" w:hAnsi="宋体"/>
                <w:color w:val="000000"/>
              </w:rPr>
              <w:t xml:space="preserve">□终止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eastAsia="仿宋"/>
                <w:color w:val="000000"/>
              </w:rPr>
              <w:t xml:space="preserve">    </w:t>
            </w:r>
          </w:p>
          <w:p>
            <w:pPr>
              <w:autoSpaceDE w:val="0"/>
              <w:spacing w:line="360" w:lineRule="auto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二、</w:t>
            </w:r>
            <w:r>
              <w:rPr>
                <w:rFonts w:hint="default" w:ascii="黑体" w:hAnsi="黑体" w:eastAsia="黑体"/>
                <w:color w:val="000000"/>
              </w:rPr>
              <w:t>研究参与者</w:t>
            </w:r>
            <w:r>
              <w:rPr>
                <w:rFonts w:hint="eastAsia" w:ascii="黑体" w:hAnsi="黑体" w:eastAsia="黑体"/>
                <w:color w:val="000000"/>
              </w:rPr>
              <w:t>信息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hint="eastAsia" w:ascii="宋体" w:hAnsi="宋体"/>
                <w:color w:val="000000"/>
              </w:rPr>
              <w:t>合同研究总例数：</w:t>
            </w:r>
            <w:r>
              <w:rPr>
                <w:rFonts w:ascii="宋体" w:hAnsi="宋体"/>
                <w:color w:val="000000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例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hint="eastAsia" w:ascii="宋体" w:hAnsi="宋体"/>
                <w:color w:val="000000"/>
              </w:rPr>
              <w:t>已入组例数：</w:t>
            </w:r>
            <w:r>
              <w:rPr>
                <w:rFonts w:ascii="宋体" w:hAnsi="宋体"/>
                <w:color w:val="000000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例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hint="eastAsia" w:ascii="宋体" w:hAnsi="宋体"/>
                <w:color w:val="000000"/>
              </w:rPr>
              <w:t>完成观察例数：</w:t>
            </w:r>
            <w:r>
              <w:rPr>
                <w:rFonts w:ascii="宋体" w:hAnsi="宋体"/>
                <w:color w:val="000000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例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hint="eastAsia" w:ascii="宋体" w:hAnsi="宋体"/>
                <w:color w:val="000000"/>
              </w:rPr>
              <w:t>提前退出例数：</w:t>
            </w:r>
            <w:r>
              <w:rPr>
                <w:rFonts w:ascii="宋体" w:hAnsi="宋体"/>
                <w:color w:val="000000"/>
                <w:u w:val="single"/>
              </w:rPr>
              <w:t xml:space="preserve">     </w:t>
            </w:r>
            <w:r>
              <w:rPr>
                <w:rFonts w:hint="eastAsia" w:ascii="宋体" w:hAnsi="宋体"/>
                <w:color w:val="000000"/>
              </w:rPr>
              <w:t>例（请另附“提前退出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>一览表”）</w:t>
            </w:r>
          </w:p>
          <w:p>
            <w:pPr>
              <w:autoSpaceDE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5.SAE/SUSAR例数：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</w:rPr>
              <w:t>例（请另附</w:t>
            </w:r>
            <w:r>
              <w:rPr>
                <w:rFonts w:hint="eastAsia" w:ascii="宋体" w:hAnsi="宋体"/>
                <w:color w:val="000000"/>
              </w:rPr>
              <w:t>“</w:t>
            </w:r>
            <w:r>
              <w:rPr>
                <w:rFonts w:ascii="Times New Roman" w:hAnsi="Times New Roman" w:cs="Times New Roman"/>
                <w:color w:val="000000"/>
              </w:rPr>
              <w:t>SAE/SUSAR一览表</w:t>
            </w:r>
            <w:r>
              <w:rPr>
                <w:rFonts w:hint="eastAsia" w:ascii="宋体" w:hAnsi="宋体"/>
                <w:color w:val="000000"/>
              </w:rPr>
              <w:t>”</w:t>
            </w:r>
            <w:r>
              <w:rPr>
                <w:rFonts w:ascii="Times New Roman" w:hAnsi="Times New Roman" w:cs="Times New Roman"/>
                <w:color w:val="000000"/>
              </w:rPr>
              <w:t>）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  <w:r>
              <w:rPr>
                <w:rFonts w:hint="eastAsia" w:ascii="宋体" w:hAnsi="宋体"/>
                <w:color w:val="000000"/>
              </w:rPr>
              <w:t>研究过程中，发生的方案偏离事件：</w:t>
            </w:r>
            <w:r>
              <w:rPr>
                <w:rFonts w:hint="eastAsia" w:ascii="宋体" w:hAnsi="宋体"/>
                <w:color w:val="00000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000000"/>
              </w:rPr>
              <w:t>例次（请另附“方案偏离一览表”）</w:t>
            </w:r>
          </w:p>
          <w:p>
            <w:pPr>
              <w:autoSpaceDE w:val="0"/>
              <w:spacing w:line="360" w:lineRule="auto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三、暂停/终止研究的原因（可另附页说明）</w:t>
            </w:r>
          </w:p>
          <w:p>
            <w:pPr>
              <w:autoSpaceDE w:val="0"/>
              <w:spacing w:line="360" w:lineRule="auto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/>
                <w:color w:val="000000"/>
              </w:rPr>
              <w:t>四、有序终止研究的程序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hint="eastAsia" w:ascii="宋体" w:hAnsi="宋体"/>
                <w:color w:val="000000"/>
              </w:rPr>
              <w:t>是否要求召回已完成研究的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进行随访：□是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 xml:space="preserve">□否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□不适用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hint="eastAsia" w:ascii="宋体" w:hAnsi="宋体"/>
                <w:color w:val="000000"/>
              </w:rPr>
              <w:t>是否通知在研的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，研究已经提前终止：□是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□否（请另页说明）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color w:val="000000"/>
              </w:rPr>
              <w:t>□不适用</w:t>
            </w:r>
          </w:p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hint="eastAsia" w:ascii="宋体" w:hAnsi="宋体"/>
                <w:color w:val="000000"/>
              </w:rPr>
              <w:t>在研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是否提前终止研究： □是 </w:t>
            </w:r>
            <w:r>
              <w:rPr>
                <w:rFonts w:ascii="宋体" w:hAnsi="宋体"/>
                <w:color w:val="00000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</w:rPr>
              <w:t xml:space="preserve">□否（请另页说明） </w:t>
            </w:r>
            <w:r>
              <w:rPr>
                <w:rFonts w:ascii="宋体" w:hAnsi="宋体"/>
                <w:color w:val="000000"/>
              </w:rPr>
              <w:t xml:space="preserve">    </w:t>
            </w:r>
            <w:r>
              <w:rPr>
                <w:rFonts w:hint="eastAsia" w:ascii="宋体" w:hAnsi="宋体"/>
                <w:color w:val="000000"/>
              </w:rPr>
              <w:t>□不适用</w:t>
            </w:r>
          </w:p>
          <w:p>
            <w:pPr>
              <w:autoSpaceDE w:val="0"/>
              <w:spacing w:line="360" w:lineRule="auto"/>
              <w:ind w:left="3150" w:hanging="3150" w:hangingChars="1500"/>
              <w:rPr>
                <w:rFonts w:ascii="宋体" w:hAnsi="宋体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hint="eastAsia" w:ascii="宋体" w:hAnsi="宋体"/>
                <w:color w:val="000000"/>
              </w:rPr>
              <w:t>提前终止研究</w:t>
            </w:r>
            <w:r>
              <w:rPr>
                <w:rFonts w:hint="default" w:ascii="宋体" w:hAnsi="宋体"/>
                <w:color w:val="000000"/>
              </w:rPr>
              <w:t>研究参与者</w:t>
            </w:r>
            <w:r>
              <w:rPr>
                <w:rFonts w:hint="eastAsia" w:ascii="宋体" w:hAnsi="宋体"/>
                <w:color w:val="000000"/>
              </w:rPr>
              <w:t xml:space="preserve">的后续医疗与随访安排：□转入常规医疗 </w:t>
            </w:r>
            <w:r>
              <w:rPr>
                <w:rFonts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color w:val="000000"/>
              </w:rPr>
              <w:t>□有针对性的安排随</w:t>
            </w:r>
          </w:p>
          <w:p>
            <w:pPr>
              <w:autoSpaceDE w:val="0"/>
              <w:spacing w:line="360" w:lineRule="auto"/>
              <w:ind w:left="3150" w:hanging="3150" w:hangingChars="15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访检测与后续治疗（请另页说明） </w:t>
            </w:r>
            <w:r>
              <w:rPr>
                <w:rFonts w:ascii="宋体" w:hAnsi="宋体"/>
                <w:color w:val="000000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lang w:eastAsia="zh-CN"/>
              </w:rPr>
              <w:t xml:space="preserve">     </w:t>
            </w:r>
            <w:r>
              <w:rPr>
                <w:rFonts w:ascii="宋体" w:hAnsi="宋体"/>
                <w:color w:val="000000"/>
              </w:rPr>
              <w:t xml:space="preserve">  </w:t>
            </w:r>
            <w:r>
              <w:rPr>
                <w:rFonts w:hint="eastAsia" w:ascii="宋体" w:hAnsi="宋体"/>
                <w:color w:val="000000"/>
              </w:rPr>
              <w:t>□不适用</w:t>
            </w:r>
          </w:p>
          <w:p>
            <w:pPr>
              <w:autoSpaceDE w:val="0"/>
              <w:spacing w:line="360" w:lineRule="auto"/>
              <w:ind w:left="3150" w:hanging="3150" w:hangingChars="15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  <w:lang w:val="en-US" w:eastAsia="zh-CN"/>
              </w:rPr>
              <w:t>5.受试者补贴是否完全发放到位：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是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 xml:space="preserve">否    </w:t>
            </w:r>
            <w:r>
              <w:rPr>
                <w:rFonts w:hint="eastAsia" w:ascii="宋体" w:hAnsi="宋体" w:cs="宋体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不适用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研究者签名</w:t>
            </w:r>
          </w:p>
        </w:tc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2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  <w:spacing w:val="20"/>
              </w:rPr>
              <w:t>日 期</w:t>
            </w: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60" w:lineRule="auto"/>
              <w:rPr>
                <w:rFonts w:ascii="宋体" w:hAnsi="宋体"/>
                <w:color w:val="000000"/>
              </w:rPr>
            </w:pPr>
          </w:p>
        </w:tc>
      </w:tr>
    </w:tbl>
    <w:p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ascii="Times New Roman" w:hAnsi="Times New Roman" w:eastAsia="仿宋" w:cs="Times New Roman"/>
          <w:kern w:val="0"/>
        </w:rPr>
        <w:t>注：</w:t>
      </w:r>
      <w:r>
        <w:rPr>
          <w:rFonts w:hint="eastAsia" w:ascii="宋体" w:hAnsi="宋体" w:cs="宋体"/>
          <w:kern w:val="0"/>
        </w:rPr>
        <w:t>①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提前退出研究参与者一览表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至少应包括：研究参与者编号、退出原因、退出时研究参与者健康情况。</w:t>
      </w:r>
      <w:r>
        <w:rPr>
          <w:rFonts w:hint="eastAsia" w:ascii="宋体" w:hAnsi="宋体" w:cs="宋体"/>
          <w:kern w:val="0"/>
        </w:rPr>
        <w:t>②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SAE/SUSAR一览表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至少应包括研究参与者编号、SAE/SUSAR、具体诊断、与该临床研究的相关性、预期性、研究参与者转归和是否赔偿。</w:t>
      </w:r>
      <w:r>
        <w:rPr>
          <w:rFonts w:hint="eastAsia" w:ascii="宋体" w:hAnsi="宋体" w:cs="宋体"/>
          <w:color w:val="000000"/>
          <w:kern w:val="0"/>
        </w:rPr>
        <w:t>③</w:t>
      </w:r>
      <w:r>
        <w:rPr>
          <w:rFonts w:hint="eastAsia" w:ascii="Times New Roman" w:hAnsi="Times New Roman" w:eastAsia="仿宋" w:cs="Times New Roman"/>
          <w:kern w:val="0"/>
        </w:rPr>
        <w:t>“</w:t>
      </w:r>
      <w:r>
        <w:rPr>
          <w:rFonts w:ascii="Times New Roman" w:hAnsi="Times New Roman" w:eastAsia="仿宋" w:cs="Times New Roman"/>
          <w:color w:val="000000"/>
          <w:kern w:val="0"/>
        </w:rPr>
        <w:t>方案偏离一览表</w:t>
      </w:r>
      <w:r>
        <w:rPr>
          <w:rFonts w:hint="eastAsia" w:ascii="Times New Roman" w:hAnsi="Times New Roman" w:eastAsia="仿宋" w:cs="Times New Roman"/>
          <w:kern w:val="0"/>
        </w:rPr>
        <w:t>”</w:t>
      </w:r>
      <w:r>
        <w:rPr>
          <w:rFonts w:ascii="Times New Roman" w:hAnsi="Times New Roman" w:eastAsia="仿宋" w:cs="Times New Roman"/>
          <w:color w:val="000000"/>
          <w:kern w:val="0"/>
        </w:rPr>
        <w:t>至少应</w:t>
      </w:r>
      <w:r>
        <w:rPr>
          <w:rFonts w:ascii="Times New Roman" w:hAnsi="Times New Roman" w:eastAsia="仿宋" w:cs="Times New Roman"/>
          <w:bCs/>
          <w:color w:val="000000"/>
          <w:kern w:val="0"/>
        </w:rPr>
        <w:t>包括研究参与者编号、发生日期、发现日期、方案偏离类型、事件描述、事件发生的原因、对研究参与者的影响、对研究结果的影响和处理措施。其中，方案偏离类型：</w:t>
      </w:r>
      <w:r>
        <w:rPr>
          <w:rFonts w:ascii="Times New Roman" w:hAnsi="Times New Roman" w:eastAsia="仿宋" w:cs="Times New Roman"/>
          <w:kern w:val="0"/>
        </w:rPr>
        <w:t>1.</w:t>
      </w:r>
      <w:r>
        <w:rPr>
          <w:rFonts w:ascii="Times New Roman" w:hAnsi="Times New Roman" w:eastAsia="仿宋" w:cs="Times New Roman"/>
          <w:color w:val="000000"/>
          <w:kern w:val="0"/>
        </w:rPr>
        <w:t>严重方案偏离</w:t>
      </w:r>
      <w:r>
        <w:rPr>
          <w:rFonts w:ascii="Times New Roman" w:hAnsi="Times New Roman" w:eastAsia="仿宋" w:cs="Times New Roman"/>
          <w:kern w:val="0"/>
        </w:rPr>
        <w:t>：1.1纳入不符合纳入标准的研究参与者；1.2研究过程中，符合提前中止研究标准而没有让研究参与者退出；1.3给予研究参与者错误的治疗或不正确的剂量；1.4给予研究参与者方案禁用的合并用药；1.5任何偏离研究特定的程序或评估，从而对研究参与者的权益、安全和健康，或对研究结果产生显著影响的研究行为。2.持续方案偏离（不属于上述重大方案偏离，但反复多次的偏离方案）。3.研究者不配合监察/稽查。4.对违规事件不予以纠正。5.其它方案偏离。</w:t>
      </w:r>
    </w:p>
    <w:p>
      <w:pPr>
        <w:spacing w:after="156" w:afterLines="50" w:line="360" w:lineRule="auto"/>
        <w:ind w:left="280" w:hanging="280" w:hangingChars="1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提前退出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研究参与</w:t>
      </w:r>
      <w:r>
        <w:rPr>
          <w:rFonts w:hint="eastAsia" w:ascii="黑体" w:hAnsi="黑体" w:eastAsia="黑体" w:cs="黑体"/>
          <w:sz w:val="28"/>
          <w:szCs w:val="28"/>
        </w:rPr>
        <w:t>者一览表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5621"/>
        <w:gridCol w:w="5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者编号</w:t>
            </w:r>
          </w:p>
        </w:tc>
        <w:tc>
          <w:tcPr>
            <w:tcW w:w="198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退出原因</w:t>
            </w:r>
          </w:p>
        </w:tc>
        <w:tc>
          <w:tcPr>
            <w:tcW w:w="198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退出时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者健康情况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SAE/SUSAR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2011"/>
        <w:gridCol w:w="2011"/>
        <w:gridCol w:w="2011"/>
        <w:gridCol w:w="2013"/>
        <w:gridCol w:w="2013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SAE/SUSAR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具体诊断</w:t>
            </w:r>
          </w:p>
        </w:tc>
        <w:tc>
          <w:tcPr>
            <w:tcW w:w="70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与该临床研究的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相关性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预期性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者转归</w:t>
            </w:r>
          </w:p>
        </w:tc>
        <w:tc>
          <w:tcPr>
            <w:tcW w:w="71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是否赔偿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方案</w:t>
      </w: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偏离</w:t>
      </w:r>
      <w:bookmarkEnd w:id="0"/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者编号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对研究参与者的影响</w:t>
            </w:r>
          </w:p>
        </w:tc>
        <w:tc>
          <w:tcPr>
            <w:tcW w:w="88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0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" w:hAnsi="仿宋" w:eastAsia="仿宋"/>
          <w:bCs/>
          <w:color w:val="000000"/>
          <w:kern w:val="0"/>
        </w:rPr>
        <w:t>方案偏离类型：</w:t>
      </w:r>
      <w:r>
        <w:rPr>
          <w:rFonts w:hint="eastAsia" w:ascii="Times New Roman" w:hAnsi="Times New Roman" w:eastAsia="仿宋" w:cs="Times New Roman"/>
          <w:kern w:val="0"/>
        </w:rPr>
        <w:t>1.</w:t>
      </w:r>
      <w:r>
        <w:rPr>
          <w:rFonts w:hint="eastAsia" w:ascii="仿宋" w:hAnsi="仿宋" w:eastAsia="仿宋" w:cs="Times New Roman"/>
          <w:color w:val="000000"/>
          <w:kern w:val="0"/>
          <w:lang w:val="en-US" w:eastAsia="zh-CN"/>
        </w:rPr>
        <w:t>严重方案</w:t>
      </w:r>
      <w:r>
        <w:rPr>
          <w:rFonts w:hint="eastAsia" w:ascii="仿宋" w:hAnsi="仿宋" w:eastAsia="仿宋" w:cs="Times New Roman"/>
          <w:color w:val="000000"/>
          <w:kern w:val="0"/>
        </w:rPr>
        <w:t>偏离</w:t>
      </w:r>
      <w:r>
        <w:rPr>
          <w:rFonts w:hint="eastAsia" w:ascii="仿宋" w:hAnsi="仿宋" w:eastAsia="仿宋"/>
          <w:kern w:val="0"/>
        </w:rPr>
        <w:t>：</w:t>
      </w:r>
      <w:r>
        <w:rPr>
          <w:rFonts w:hint="eastAsia" w:ascii="Times New Roman" w:hAnsi="Times New Roman" w:eastAsia="仿宋" w:cs="Times New Roman"/>
          <w:kern w:val="0"/>
        </w:rPr>
        <w:t>1.1</w:t>
      </w:r>
      <w:r>
        <w:rPr>
          <w:rFonts w:hint="eastAsia" w:ascii="仿宋" w:hAnsi="仿宋" w:eastAsia="仿宋"/>
          <w:kern w:val="0"/>
        </w:rPr>
        <w:t>纳入不符合纳入标准的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；</w:t>
      </w:r>
      <w:r>
        <w:rPr>
          <w:rFonts w:hint="eastAsia" w:ascii="Times New Roman" w:hAnsi="Times New Roman" w:eastAsia="仿宋" w:cs="Times New Roman"/>
          <w:kern w:val="0"/>
        </w:rPr>
        <w:t>1.2</w:t>
      </w:r>
      <w:r>
        <w:rPr>
          <w:rFonts w:hint="eastAsia" w:ascii="仿宋" w:hAnsi="仿宋" w:eastAsia="仿宋"/>
          <w:kern w:val="0"/>
        </w:rPr>
        <w:t>研究过程中，符合提前中止研究标准而没有让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退出；</w:t>
      </w:r>
      <w:r>
        <w:rPr>
          <w:rFonts w:hint="eastAsia" w:ascii="Times New Roman" w:hAnsi="Times New Roman" w:eastAsia="仿宋" w:cs="Times New Roman"/>
          <w:kern w:val="0"/>
        </w:rPr>
        <w:t>1.3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错误的治疗或不正确的剂量；</w:t>
      </w:r>
      <w:r>
        <w:rPr>
          <w:rFonts w:hint="eastAsia" w:ascii="Times New Roman" w:hAnsi="Times New Roman" w:eastAsia="仿宋" w:cs="Times New Roman"/>
          <w:kern w:val="0"/>
        </w:rPr>
        <w:t>1.4</w:t>
      </w:r>
      <w:r>
        <w:rPr>
          <w:rFonts w:hint="eastAsia" w:ascii="仿宋" w:hAnsi="仿宋" w:eastAsia="仿宋"/>
          <w:kern w:val="0"/>
        </w:rPr>
        <w:t>给予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方案禁用的合并用药；</w:t>
      </w:r>
      <w:r>
        <w:rPr>
          <w:rFonts w:hint="eastAsia" w:ascii="Times New Roman" w:hAnsi="Times New Roman" w:eastAsia="仿宋" w:cs="Times New Roman"/>
          <w:kern w:val="0"/>
        </w:rPr>
        <w:t>1.5</w:t>
      </w:r>
      <w:r>
        <w:rPr>
          <w:rFonts w:hint="eastAsia" w:ascii="仿宋" w:hAnsi="仿宋" w:eastAsia="仿宋"/>
          <w:kern w:val="0"/>
        </w:rPr>
        <w:t>任何偏离研究特定的程序或评估，从而对</w:t>
      </w:r>
      <w:r>
        <w:rPr>
          <w:rFonts w:hint="eastAsia" w:ascii="仿宋" w:hAnsi="仿宋" w:eastAsia="仿宋"/>
          <w:kern w:val="0"/>
          <w:lang w:eastAsia="zh-CN"/>
        </w:rPr>
        <w:t>研究参与者</w:t>
      </w:r>
      <w:r>
        <w:rPr>
          <w:rFonts w:hint="eastAsia" w:ascii="仿宋" w:hAnsi="仿宋" w:eastAsia="仿宋"/>
          <w:kern w:val="0"/>
        </w:rPr>
        <w:t>的权益、安全和健康，或对研究结果产生显著影响的研究行为。</w:t>
      </w:r>
      <w:r>
        <w:rPr>
          <w:rFonts w:hint="eastAsia" w:ascii="Times New Roman" w:hAnsi="Times New Roman" w:eastAsia="仿宋" w:cs="Times New Roman"/>
          <w:kern w:val="0"/>
        </w:rPr>
        <w:t>2.</w:t>
      </w:r>
      <w:r>
        <w:rPr>
          <w:rFonts w:hint="eastAsia" w:ascii="仿宋" w:hAnsi="仿宋" w:eastAsia="仿宋"/>
          <w:kern w:val="0"/>
        </w:rPr>
        <w:t>持续方案偏离（不属于上述重大方案偏离，但反复多次的偏离方案）。</w:t>
      </w:r>
      <w:r>
        <w:rPr>
          <w:rFonts w:hint="eastAsia" w:ascii="Times New Roman" w:hAnsi="Times New Roman" w:eastAsia="仿宋" w:cs="Times New Roman"/>
          <w:kern w:val="0"/>
        </w:rPr>
        <w:t>3.</w:t>
      </w:r>
      <w:r>
        <w:rPr>
          <w:rFonts w:hint="eastAsia" w:ascii="仿宋" w:hAnsi="仿宋" w:eastAsia="仿宋"/>
          <w:kern w:val="0"/>
        </w:rPr>
        <w:t>研究者不配合监察</w:t>
      </w:r>
      <w:r>
        <w:rPr>
          <w:rFonts w:hint="eastAsia" w:ascii="Times New Roman" w:hAnsi="Times New Roman" w:eastAsia="仿宋" w:cs="Times New Roman"/>
          <w:kern w:val="0"/>
        </w:rPr>
        <w:t>/</w:t>
      </w:r>
      <w:r>
        <w:rPr>
          <w:rFonts w:hint="eastAsia" w:ascii="仿宋" w:hAnsi="仿宋" w:eastAsia="仿宋"/>
          <w:kern w:val="0"/>
        </w:rPr>
        <w:t>稽查。</w:t>
      </w:r>
      <w:r>
        <w:rPr>
          <w:rFonts w:hint="eastAsia" w:ascii="Times New Roman" w:hAnsi="Times New Roman" w:eastAsia="仿宋" w:cs="Times New Roman"/>
          <w:kern w:val="0"/>
        </w:rPr>
        <w:t>4.</w:t>
      </w:r>
      <w:r>
        <w:rPr>
          <w:rFonts w:hint="eastAsia" w:ascii="仿宋" w:hAnsi="仿宋" w:eastAsia="仿宋"/>
          <w:kern w:val="0"/>
        </w:rPr>
        <w:t>对违规事件不予以纠正。</w:t>
      </w:r>
      <w:r>
        <w:rPr>
          <w:rFonts w:hint="eastAsia" w:ascii="Times New Roman" w:hAnsi="Times New Roman" w:eastAsia="仿宋" w:cs="Times New Roman"/>
          <w:kern w:val="0"/>
        </w:rPr>
        <w:t>5.</w:t>
      </w:r>
      <w:r>
        <w:rPr>
          <w:rFonts w:hint="eastAsia" w:ascii="仿宋" w:hAnsi="仿宋" w:eastAsia="仿宋"/>
          <w:kern w:val="0"/>
        </w:rPr>
        <w:t>其它方案偏离。</w:t>
      </w:r>
    </w:p>
    <w:p>
      <w:pPr>
        <w:spacing w:after="156" w:afterLines="50"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>
      <w:pPr>
        <w:widowControl/>
        <w:spacing w:before="120"/>
        <w:ind w:firstLine="420" w:firstLineChars="200"/>
        <w:rPr>
          <w:rFonts w:ascii="Times New Roman" w:hAnsi="Times New Roman" w:eastAsia="仿宋" w:cs="Times New Roman"/>
          <w:kern w:val="0"/>
        </w:rPr>
      </w:pPr>
    </w:p>
    <w:sectPr>
      <w:headerReference r:id="rId7" w:type="default"/>
      <w:footerReference r:id="rId8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482236460" w:date="2021-11-26T11:05:17Z" w:initials="">
    <w:p w14:paraId="589D3170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89D317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2</w:t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rPr>
                    <w:rFonts w:hint="default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 xml:space="preserve">委员会     </w:t>
    </w:r>
    <w:r>
      <w:t xml:space="preserve">    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AF/SS-0</w:t>
    </w:r>
    <w:r>
      <w:rPr>
        <w:rFonts w:hint="eastAsia" w:ascii="Times New Roman" w:hAnsi="Times New Roman" w:cs="Times New Roman"/>
        <w:lang w:val="en-US" w:eastAsia="zh-CN"/>
      </w:rPr>
      <w:t>7</w:t>
    </w:r>
    <w:r>
      <w:rPr>
        <w:rFonts w:hint="default" w:ascii="Times New Roman" w:hAnsi="Times New Roman" w:cs="Times New Roman"/>
      </w:rPr>
      <w:t>/</w:t>
    </w:r>
    <w:r>
      <w:rPr>
        <w:rFonts w:hint="default" w:ascii="Times New Roman" w:hAnsi="Times New Roman" w:cs="Times New Roman"/>
        <w:lang w:val="en-US" w:eastAsia="zh-CN"/>
      </w:rPr>
      <w:t>03.0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82236460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6D3C9A"/>
    <w:rsid w:val="00050938"/>
    <w:rsid w:val="000A1E3B"/>
    <w:rsid w:val="000A51D8"/>
    <w:rsid w:val="000B5E24"/>
    <w:rsid w:val="000C0CF3"/>
    <w:rsid w:val="000D476E"/>
    <w:rsid w:val="00100910"/>
    <w:rsid w:val="001905F7"/>
    <w:rsid w:val="00191623"/>
    <w:rsid w:val="001D2595"/>
    <w:rsid w:val="00291FB4"/>
    <w:rsid w:val="002D0487"/>
    <w:rsid w:val="00343AF6"/>
    <w:rsid w:val="003A5087"/>
    <w:rsid w:val="0040619F"/>
    <w:rsid w:val="004D7423"/>
    <w:rsid w:val="00510908"/>
    <w:rsid w:val="00577EA7"/>
    <w:rsid w:val="005B2030"/>
    <w:rsid w:val="006A20F0"/>
    <w:rsid w:val="006D3C9A"/>
    <w:rsid w:val="00771DC0"/>
    <w:rsid w:val="007A550A"/>
    <w:rsid w:val="007D044D"/>
    <w:rsid w:val="007D7870"/>
    <w:rsid w:val="00807E8D"/>
    <w:rsid w:val="008814BD"/>
    <w:rsid w:val="008E13CB"/>
    <w:rsid w:val="009056DC"/>
    <w:rsid w:val="009C09D0"/>
    <w:rsid w:val="009D6273"/>
    <w:rsid w:val="00A07BA5"/>
    <w:rsid w:val="00A16D67"/>
    <w:rsid w:val="00A26E96"/>
    <w:rsid w:val="00A319DC"/>
    <w:rsid w:val="00A37862"/>
    <w:rsid w:val="00AA68A7"/>
    <w:rsid w:val="00AF3C85"/>
    <w:rsid w:val="00B03142"/>
    <w:rsid w:val="00B25F7A"/>
    <w:rsid w:val="00B26AF1"/>
    <w:rsid w:val="00B46943"/>
    <w:rsid w:val="00B70F2B"/>
    <w:rsid w:val="00BA3BF2"/>
    <w:rsid w:val="00C2072E"/>
    <w:rsid w:val="00C235D5"/>
    <w:rsid w:val="00C43F5D"/>
    <w:rsid w:val="00C610A8"/>
    <w:rsid w:val="00CC6B49"/>
    <w:rsid w:val="00CD2D6E"/>
    <w:rsid w:val="00CD7451"/>
    <w:rsid w:val="00D22C71"/>
    <w:rsid w:val="00D82C28"/>
    <w:rsid w:val="00D84B99"/>
    <w:rsid w:val="00D93AAA"/>
    <w:rsid w:val="00DB524C"/>
    <w:rsid w:val="00E0374D"/>
    <w:rsid w:val="00E101B8"/>
    <w:rsid w:val="00EB1350"/>
    <w:rsid w:val="00EE6CC9"/>
    <w:rsid w:val="00F55D36"/>
    <w:rsid w:val="00FB5ACD"/>
    <w:rsid w:val="00FC2DF4"/>
    <w:rsid w:val="00FF34A7"/>
    <w:rsid w:val="19495338"/>
    <w:rsid w:val="1CB529A7"/>
    <w:rsid w:val="1F3D0D89"/>
    <w:rsid w:val="21795107"/>
    <w:rsid w:val="25CD3340"/>
    <w:rsid w:val="266B738D"/>
    <w:rsid w:val="282C7C34"/>
    <w:rsid w:val="283D76A3"/>
    <w:rsid w:val="2E3423A5"/>
    <w:rsid w:val="2ED14C03"/>
    <w:rsid w:val="301E009F"/>
    <w:rsid w:val="31591DFA"/>
    <w:rsid w:val="31862397"/>
    <w:rsid w:val="32B50CA8"/>
    <w:rsid w:val="34E73EBF"/>
    <w:rsid w:val="382503D9"/>
    <w:rsid w:val="39E822A4"/>
    <w:rsid w:val="3A2B0CF2"/>
    <w:rsid w:val="3C7D403E"/>
    <w:rsid w:val="3D2E5793"/>
    <w:rsid w:val="3F302D29"/>
    <w:rsid w:val="3F4A760E"/>
    <w:rsid w:val="41B4613F"/>
    <w:rsid w:val="468606F9"/>
    <w:rsid w:val="46FC2AE9"/>
    <w:rsid w:val="47D7594B"/>
    <w:rsid w:val="4A86340E"/>
    <w:rsid w:val="4F4A29EC"/>
    <w:rsid w:val="57F6251F"/>
    <w:rsid w:val="602A189C"/>
    <w:rsid w:val="6112019F"/>
    <w:rsid w:val="6970647E"/>
    <w:rsid w:val="6CC95E70"/>
    <w:rsid w:val="6D6F09B1"/>
    <w:rsid w:val="6E005A16"/>
    <w:rsid w:val="734B1F8A"/>
    <w:rsid w:val="78742B54"/>
    <w:rsid w:val="7C7924B3"/>
    <w:rsid w:val="7E7D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4"/>
    <w:semiHidden/>
    <w:qFormat/>
    <w:locked/>
    <w:uiPriority w:val="99"/>
    <w:rPr>
      <w:sz w:val="18"/>
    </w:rPr>
  </w:style>
  <w:style w:type="character" w:customStyle="1" w:styleId="9">
    <w:name w:val="页脚 Char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8" textRotate="1"/>
    <customShpInfo spid="_x0000_s4099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87006A-34BF-4D05-91FC-A19F2DC665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854</Words>
  <Characters>932</Characters>
  <Lines>8</Lines>
  <Paragraphs>2</Paragraphs>
  <TotalTime>0</TotalTime>
  <ScaleCrop>false</ScaleCrop>
  <LinksUpToDate>false</LinksUpToDate>
  <CharactersWithSpaces>1052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2015-03-20T15:13:00Z</dcterms:created>
  <dc:creator>User</dc:creator>
  <cp:lastModifiedBy>WPS_1482236460</cp:lastModifiedBy>
  <cp:lastPrinted>2017-03-06T03:31:00Z</cp:lastPrinted>
  <dcterms:modified xsi:type="dcterms:W3CDTF">2023-12-18T02:03:07Z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B08F44889E6A45F1B0F051AC7EEC667B</vt:lpwstr>
  </property>
</Properties>
</file>