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826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360" w:lineRule="auto"/>
        <w:jc w:val="center"/>
        <w:textAlignment w:val="auto"/>
        <w:rPr>
          <w:rFonts w:hint="eastAsia" w:ascii="Times New Roman" w:hAnsi="Times New Roman" w:eastAsia="方正小标宋简体" w:cs="Times New Roman"/>
          <w:kern w:val="2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kern w:val="2"/>
          <w:sz w:val="36"/>
          <w:szCs w:val="36"/>
          <w:lang w:val="en-US" w:eastAsia="zh-CN" w:bidi="ar"/>
        </w:rPr>
        <w:t>送审材料递交说明</w:t>
      </w:r>
    </w:p>
    <w:p w14:paraId="7CDEC848">
      <w:pPr>
        <w:spacing w:line="360" w:lineRule="auto"/>
        <w:jc w:val="both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申请初始审查或进行跟踪审查递交时，请严格依照送审材料清单及送审指南的要求，提交相应文件。</w:t>
      </w:r>
    </w:p>
    <w:p w14:paraId="177A525B">
      <w:pPr>
        <w:spacing w:line="360" w:lineRule="auto"/>
        <w:jc w:val="both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2.受试者鉴认代码表等试验相关表格，无需向伦理审查委员会递交。</w:t>
      </w:r>
    </w:p>
    <w:p w14:paraId="686D97FD">
      <w:pPr>
        <w:spacing w:line="360" w:lineRule="auto"/>
        <w:jc w:val="both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3.我院临床试验专业组名单</w:t>
      </w:r>
    </w:p>
    <w:p w14:paraId="1B7CD398">
      <w:pPr>
        <w:spacing w:line="360" w:lineRule="auto"/>
        <w:jc w:val="both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Cs w:val="21"/>
          <w:lang w:val="en-US" w:eastAsia="zh-CN"/>
        </w:rPr>
        <w:t>药物临床试验备案专业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：心血管内科、医学影像-介入放射学专业、神经内科、血液内科、肾病学、消化内科、传染科、肿瘤、呼吸内科、普通外科、眼科、骨科、重症监护科、妇科、Ⅰ期临床试验研究室-Ⅰ期药物临床试验、Ⅰ期临床试验研究室-生物等效性试验、医学影像-放射治疗专业、内分泌专业、免疫学、泌尿外科、急诊医学科、麻醉科。</w:t>
      </w:r>
    </w:p>
    <w:p w14:paraId="7711C835">
      <w:pPr>
        <w:spacing w:line="360" w:lineRule="auto"/>
        <w:jc w:val="both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Cs w:val="21"/>
          <w:lang w:val="en-US" w:eastAsia="zh-CN"/>
        </w:rPr>
        <w:t>医疗器械</w:t>
      </w:r>
      <w:r>
        <w:rPr>
          <w:rFonts w:hint="default" w:ascii="Times New Roman" w:hAnsi="Times New Roman" w:eastAsia="仿宋_GB2312" w:cs="Times New Roman"/>
          <w:b/>
          <w:bCs/>
          <w:szCs w:val="21"/>
          <w:lang w:val="en-US" w:eastAsia="zh-CN"/>
        </w:rPr>
        <w:t>临床试验备案专业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：心血管内科、医学影像科、神经内科、血液内科、肾病学、消化内科、传染科、肿瘤、呼吸内科、普通外科、眼科、骨科、重症监护室（重症医学科）、妇科、病理科、医学检验科、内分泌科、麻醉科、泌尿外科、急诊医学科、医疗美容科、疼痛科。</w:t>
      </w:r>
    </w:p>
    <w:p w14:paraId="1B13BD33">
      <w:pPr>
        <w:spacing w:line="360" w:lineRule="auto"/>
        <w:jc w:val="both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4.审查文件与备案文件须分开递交，不同审查类别的文件亦应分别提交。属于同一审查类别的文件，如安全性更新报告与外院SUSAR，可合并递交。</w:t>
      </w:r>
    </w:p>
    <w:p w14:paraId="185ADE65">
      <w:pPr>
        <w:spacing w:line="360" w:lineRule="auto"/>
        <w:jc w:val="both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5.请参照《知情同意书需要提交复审的情况列举》，对知情同意书中的不适宜之处进行修改。</w:t>
      </w:r>
    </w:p>
    <w:p w14:paraId="04A9656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6.初始审查文件上会前，须完成伦理审查协议签署及初始审查费缴纳，并填写《丽水市中心医院临床试验伦理审查委员会发票申请单》，发送至邮箱 ec_lshospital_cw@163.com。未按此要求完成者，其项目将不予安排当次上会，自动顺延至完成费用缴纳后的下一伦理审查会议。</w:t>
      </w:r>
    </w:p>
    <w:p w14:paraId="192A705D">
      <w:pPr>
        <w:spacing w:line="360" w:lineRule="auto"/>
        <w:jc w:val="both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7.递交CDE沟通情况以及NMPA时应另附《</w:t>
      </w:r>
      <w:r>
        <w:rPr>
          <w:rFonts w:hint="default" w:ascii="Times New Roman" w:hAnsi="Times New Roman" w:eastAsia="仿宋_GB2312" w:cs="Times New Roman"/>
          <w:szCs w:val="21"/>
          <w:lang w:val="en-US" w:eastAsia="zh-CN"/>
        </w:rPr>
        <w:t>关于与CDE沟通情况的说明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>》或《关于与NMPA沟通情况及批件内容的说明》</w:t>
      </w:r>
    </w:p>
    <w:p w14:paraId="43E948BB">
      <w:pPr>
        <w:spacing w:line="360" w:lineRule="auto"/>
        <w:jc w:val="both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0308A097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483E3415">
      <w:pPr>
        <w:spacing w:line="360" w:lineRule="auto"/>
        <w:jc w:val="left"/>
        <w:rPr>
          <w:rFonts w:hint="default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 xml:space="preserve">附件1 </w:t>
      </w:r>
      <w:r>
        <w:rPr>
          <w:rFonts w:hint="default" w:ascii="黑体" w:hAnsi="黑体" w:eastAsia="黑体" w:cs="黑体"/>
          <w:szCs w:val="21"/>
          <w:lang w:val="en-US" w:eastAsia="zh-CN"/>
        </w:rPr>
        <w:t>关于与CDE沟通情况的说明</w:t>
      </w:r>
      <w:r>
        <w:rPr>
          <w:rFonts w:hint="eastAsia" w:ascii="黑体" w:hAnsi="黑体" w:eastAsia="黑体" w:cs="黑体"/>
          <w:szCs w:val="21"/>
          <w:lang w:val="en-US" w:eastAsia="zh-CN"/>
        </w:rPr>
        <w:t>/关于与NMPA沟通情况及批件内容的说明</w:t>
      </w:r>
    </w:p>
    <w:p w14:paraId="1DE47B29">
      <w:pPr>
        <w:spacing w:line="360" w:lineRule="auto"/>
        <w:jc w:val="left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附件2 丽水市中心医院伦理审查收费要求</w:t>
      </w:r>
    </w:p>
    <w:p w14:paraId="34328E76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72B2C2B0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7AC6F523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3F9666A8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037B86CD">
      <w:pPr>
        <w:spacing w:line="360" w:lineRule="auto"/>
        <w:jc w:val="left"/>
        <w:rPr>
          <w:rFonts w:hint="eastAsia" w:ascii="黑体" w:hAnsi="黑体" w:eastAsia="黑体" w:cs="黑体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附件1</w:t>
      </w:r>
    </w:p>
    <w:p w14:paraId="70735832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7" w:afterAutospacing="0" w:line="360" w:lineRule="auto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kern w:val="2"/>
          <w:sz w:val="36"/>
          <w:szCs w:val="36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kern w:val="2"/>
          <w:sz w:val="36"/>
          <w:szCs w:val="36"/>
          <w:lang w:val="en-US" w:eastAsia="zh-CN" w:bidi="ar"/>
        </w:rPr>
        <w:t>关于与CDE沟通情况的说明</w:t>
      </w:r>
    </w:p>
    <w:p w14:paraId="0B3AA7FF">
      <w:pP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致：丽水市中心医院临床试验伦理审查委员会</w:t>
      </w:r>
    </w:p>
    <w:p w14:paraId="073AD30A">
      <w:pP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我公司就 [项目名称] 与CDE进行了沟通（沟通时间：，方式：）。现就相关情况说明如下：</w:t>
      </w:r>
    </w:p>
    <w:p w14:paraId="6A1E273C">
      <w:pPr>
        <w:pStyle w:val="2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资料一致性声明</w:t>
      </w:r>
    </w:p>
    <w:p w14:paraId="11FA27F7">
      <w:pPr>
        <w:spacing w:line="240" w:lineRule="auto"/>
        <w:ind w:firstLine="560" w:firstLineChars="200"/>
        <w:rPr>
          <w:rFonts w:hint="default" w:ascii="Times New Roman" w:hAnsi="Times New Roman" w:eastAsia="方正仿宋_GB2312" w:cs="Times New Roman"/>
          <w:sz w:val="28"/>
          <w:szCs w:val="28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本公司确认，本次递交至贵院伦理审查委员会进行前置审查的全部资料（包括但不限于临床试验方案、知情同意书、研究者手册等），</w:t>
      </w:r>
      <w:r>
        <w:rPr>
          <w:rFonts w:hint="default" w:ascii="Times New Roman" w:hAnsi="Times New Roman" w:eastAsia="方正仿宋_GB2312" w:cs="Times New Roman"/>
          <w:b/>
          <w:bCs/>
          <w:sz w:val="28"/>
          <w:szCs w:val="28"/>
          <w:lang w:val="en-US" w:eastAsia="zh-CN"/>
        </w:rPr>
        <w:t>与递交药品审评中心（CDE）的申报资料完全一致</w:t>
      </w: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。所递交电子版资料与纸质版文件内容/版本均一致。</w:t>
      </w:r>
    </w:p>
    <w:p w14:paraId="298B0422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CDE沟通记录中是否包含对以下文件的修改要求：</w:t>
      </w: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2711"/>
        <w:gridCol w:w="4189"/>
      </w:tblGrid>
      <w:tr w14:paraId="333E0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pct"/>
            <w:shd w:val="clear" w:color="auto" w:fill="auto"/>
            <w:vAlign w:val="center"/>
          </w:tcPr>
          <w:p w14:paraId="0EA5DBB4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文件名称</w:t>
            </w:r>
          </w:p>
        </w:tc>
        <w:tc>
          <w:tcPr>
            <w:tcW w:w="1591" w:type="pct"/>
            <w:shd w:val="clear" w:color="auto" w:fill="auto"/>
            <w:vAlign w:val="center"/>
          </w:tcPr>
          <w:p w14:paraId="03FA877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是否含修改要求</w:t>
            </w:r>
          </w:p>
        </w:tc>
        <w:tc>
          <w:tcPr>
            <w:tcW w:w="2458" w:type="pct"/>
          </w:tcPr>
          <w:p w14:paraId="7912D306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修改要点（如“是”请简要说明）</w:t>
            </w:r>
          </w:p>
        </w:tc>
      </w:tr>
      <w:tr w14:paraId="76CDD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950" w:type="pct"/>
            <w:shd w:val="clear" w:color="auto" w:fill="auto"/>
            <w:vAlign w:val="center"/>
          </w:tcPr>
          <w:p w14:paraId="572048EE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试验方案</w:t>
            </w:r>
          </w:p>
        </w:tc>
        <w:tc>
          <w:tcPr>
            <w:tcW w:w="1591" w:type="pct"/>
            <w:shd w:val="clear" w:color="auto" w:fill="auto"/>
            <w:vAlign w:val="center"/>
          </w:tcPr>
          <w:p w14:paraId="7FA2A431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 xml:space="preserve">□ 是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 xml:space="preserve"> 否</w:t>
            </w:r>
          </w:p>
        </w:tc>
        <w:tc>
          <w:tcPr>
            <w:tcW w:w="2458" w:type="pct"/>
          </w:tcPr>
          <w:p w14:paraId="671A46D8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D8C88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pct"/>
            <w:shd w:val="clear" w:color="auto" w:fill="auto"/>
            <w:vAlign w:val="center"/>
          </w:tcPr>
          <w:p w14:paraId="4EBC1263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知情同意书</w:t>
            </w:r>
          </w:p>
        </w:tc>
        <w:tc>
          <w:tcPr>
            <w:tcW w:w="1591" w:type="pct"/>
            <w:shd w:val="clear" w:color="auto" w:fill="auto"/>
            <w:vAlign w:val="center"/>
          </w:tcPr>
          <w:p w14:paraId="53471963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 是 □ 否</w:t>
            </w:r>
          </w:p>
        </w:tc>
        <w:tc>
          <w:tcPr>
            <w:tcW w:w="2458" w:type="pct"/>
          </w:tcPr>
          <w:p w14:paraId="3AC69D75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4EEBB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pct"/>
            <w:shd w:val="clear" w:color="auto" w:fill="auto"/>
            <w:vAlign w:val="center"/>
          </w:tcPr>
          <w:p w14:paraId="7B2C5460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研究者手册</w:t>
            </w:r>
          </w:p>
        </w:tc>
        <w:tc>
          <w:tcPr>
            <w:tcW w:w="1591" w:type="pct"/>
            <w:shd w:val="clear" w:color="auto" w:fill="auto"/>
            <w:vAlign w:val="center"/>
          </w:tcPr>
          <w:p w14:paraId="246BD30F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 是 □ 否</w:t>
            </w:r>
          </w:p>
        </w:tc>
        <w:tc>
          <w:tcPr>
            <w:tcW w:w="2458" w:type="pct"/>
          </w:tcPr>
          <w:p w14:paraId="7841401E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35E3B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0" w:type="pct"/>
            <w:shd w:val="clear" w:color="auto" w:fill="auto"/>
            <w:vAlign w:val="center"/>
          </w:tcPr>
          <w:p w14:paraId="782C2610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其他：______</w:t>
            </w:r>
          </w:p>
        </w:tc>
        <w:tc>
          <w:tcPr>
            <w:tcW w:w="1591" w:type="pct"/>
            <w:shd w:val="clear" w:color="auto" w:fill="auto"/>
            <w:vAlign w:val="center"/>
          </w:tcPr>
          <w:p w14:paraId="01B644F9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 是 □ 否</w:t>
            </w:r>
          </w:p>
        </w:tc>
        <w:tc>
          <w:tcPr>
            <w:tcW w:w="2458" w:type="pct"/>
          </w:tcPr>
          <w:p w14:paraId="5258E92D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439D2084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结论依据：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（简述理由，如“沟通内容为行政管理流程咨询，不涉及研究设计”等）</w:t>
      </w:r>
    </w:p>
    <w:p w14:paraId="667C25E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我公司确认以上信息真实、完整。如因信息不实导致任何问题，我公司承担相应责任。</w:t>
      </w:r>
    </w:p>
    <w:p w14:paraId="120B3E10">
      <w:pPr>
        <w:ind w:left="6425" w:leftChars="2793" w:hanging="560" w:hanging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申办者（盖章）：</w:t>
      </w:r>
    </w:p>
    <w:p w14:paraId="6D1A990E">
      <w:pPr>
        <w:ind w:left="6425" w:leftChars="2793" w:hanging="560" w:hanging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日期：</w:t>
      </w:r>
    </w:p>
    <w:p w14:paraId="79E792CD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03EEE6DB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4507D8E3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3530AAAE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0E65B3E9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29F61252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4F6B771A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0D27FC74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1B9EADC3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12A2694C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48F514FE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2C065397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390A743C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09F266C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29D89EB4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12B14111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47863AAD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60B71453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9ECFBE7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668B2E5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69682062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1E9D22B3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744C1285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154FF815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82656D1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1F0706AF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35C45924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31DBD697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42F162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37" w:afterAutospacing="0" w:line="36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关于与NMPA沟通情况及批件内容的说明</w:t>
      </w:r>
    </w:p>
    <w:p w14:paraId="0159EDC2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/>
        </w:rPr>
      </w:pPr>
      <w:r>
        <w:rPr>
          <w:rFonts w:hint="default"/>
        </w:rPr>
        <w:t>一、资料一致性声明</w:t>
      </w:r>
    </w:p>
    <w:p w14:paraId="4452A0E3">
      <w:pPr>
        <w:ind w:firstLine="560" w:firstLineChars="200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本公司确认，本次递交至贵院伦理审查委员会进行前置审查的全部资料（包括但不限于临床试验方案、知情同意书、研究者手册等），</w:t>
      </w:r>
      <w:r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与递交国家药品监督管理局（NMPA）的申报资料完全一致</w:t>
      </w: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。所递交电子版资料与纸质版文件内容/版本均一致。</w:t>
      </w:r>
    </w:p>
    <w:p w14:paraId="1377F465"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default"/>
        </w:rPr>
      </w:pPr>
      <w:r>
        <w:rPr>
          <w:rFonts w:hint="eastAsia"/>
          <w:lang w:val="en-US" w:eastAsia="zh-CN"/>
        </w:rPr>
        <w:t>二、</w:t>
      </w:r>
      <w:r>
        <w:rPr>
          <w:rFonts w:hint="default"/>
        </w:rPr>
        <w:t>NMPA批件中是否包含对以下文件的修改要求：</w:t>
      </w:r>
    </w:p>
    <w:tbl>
      <w:tblPr>
        <w:tblStyle w:val="5"/>
        <w:tblW w:w="9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7"/>
        <w:gridCol w:w="2381"/>
        <w:gridCol w:w="4537"/>
      </w:tblGrid>
      <w:tr w14:paraId="6388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shd w:val="clear" w:color="auto" w:fill="auto"/>
            <w:vAlign w:val="center"/>
          </w:tcPr>
          <w:p w14:paraId="34910F65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文件名称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84DB91F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是否含修改要求</w:t>
            </w:r>
          </w:p>
        </w:tc>
        <w:tc>
          <w:tcPr>
            <w:tcW w:w="4537" w:type="dxa"/>
          </w:tcPr>
          <w:p w14:paraId="1A721E7C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修改要点（如“是”请简要说明）</w:t>
            </w:r>
          </w:p>
        </w:tc>
      </w:tr>
      <w:tr w14:paraId="1AEBB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shd w:val="clear" w:color="auto" w:fill="auto"/>
            <w:vAlign w:val="center"/>
          </w:tcPr>
          <w:p w14:paraId="4CF49067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试验方案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24670D9C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 xml:space="preserve">□ 是 </w:t>
            </w: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</w:t>
            </w: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 xml:space="preserve"> 否</w:t>
            </w:r>
          </w:p>
        </w:tc>
        <w:tc>
          <w:tcPr>
            <w:tcW w:w="4537" w:type="dxa"/>
          </w:tcPr>
          <w:p w14:paraId="13689477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6A9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shd w:val="clear" w:color="auto" w:fill="auto"/>
            <w:vAlign w:val="center"/>
          </w:tcPr>
          <w:p w14:paraId="19CDEAE5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知情同意书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647DEB8D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 是 □ 否</w:t>
            </w:r>
          </w:p>
        </w:tc>
        <w:tc>
          <w:tcPr>
            <w:tcW w:w="4537" w:type="dxa"/>
          </w:tcPr>
          <w:p w14:paraId="7FFDDFE0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7F6C5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shd w:val="clear" w:color="auto" w:fill="auto"/>
            <w:vAlign w:val="center"/>
          </w:tcPr>
          <w:p w14:paraId="47F35082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研究者手册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40F630C7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 是 □ 否</w:t>
            </w:r>
          </w:p>
        </w:tc>
        <w:tc>
          <w:tcPr>
            <w:tcW w:w="4537" w:type="dxa"/>
          </w:tcPr>
          <w:p w14:paraId="2383698A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  <w:tr w14:paraId="00EEF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7" w:type="dxa"/>
            <w:shd w:val="clear" w:color="auto" w:fill="auto"/>
            <w:vAlign w:val="center"/>
          </w:tcPr>
          <w:p w14:paraId="32C320C4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其他：______</w:t>
            </w:r>
          </w:p>
        </w:tc>
        <w:tc>
          <w:tcPr>
            <w:tcW w:w="2381" w:type="dxa"/>
            <w:shd w:val="clear" w:color="auto" w:fill="auto"/>
            <w:vAlign w:val="center"/>
          </w:tcPr>
          <w:p w14:paraId="1A784F7E">
            <w:pPr>
              <w:jc w:val="center"/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  <w:t>□ 是 □ 否</w:t>
            </w:r>
          </w:p>
        </w:tc>
        <w:tc>
          <w:tcPr>
            <w:tcW w:w="4537" w:type="dxa"/>
          </w:tcPr>
          <w:p w14:paraId="307933D8">
            <w:pPr>
              <w:rPr>
                <w:rFonts w:hint="default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</w:p>
        </w:tc>
      </w:tr>
    </w:tbl>
    <w:p w14:paraId="195907E3">
      <w:pPr>
        <w:rPr>
          <w:rFonts w:hint="default"/>
        </w:rPr>
      </w:pPr>
    </w:p>
    <w:p w14:paraId="6E76116E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结论依据：</w:t>
      </w: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（简述理由，如“沟通内容为行政管理流程咨询，不涉及研究设计”等）</w:t>
      </w:r>
    </w:p>
    <w:p w14:paraId="58C9413E">
      <w:pPr>
        <w:pStyle w:val="3"/>
        <w:keepNext w:val="0"/>
        <w:keepLines w:val="0"/>
        <w:widowControl/>
        <w:suppressLineNumbers w:val="0"/>
        <w:shd w:val="clear" w:fill="FFFFFF"/>
        <w:spacing w:before="137" w:beforeAutospacing="0" w:after="137" w:afterAutospacing="0"/>
        <w:ind w:left="0" w:right="0" w:firstLine="0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我公司确认以上信息真实、完整。如因信息不实导致任何问题，我公司承担相应责任。</w:t>
      </w:r>
    </w:p>
    <w:p w14:paraId="0B1E6853">
      <w:pPr>
        <w:pStyle w:val="3"/>
        <w:keepNext w:val="0"/>
        <w:keepLines w:val="0"/>
        <w:widowControl/>
        <w:suppressLineNumbers w:val="0"/>
        <w:shd w:val="clear" w:fill="FFFFFF"/>
        <w:spacing w:before="137" w:beforeAutospacing="0" w:after="0" w:afterAutospacing="0"/>
        <w:ind w:left="5586" w:leftChars="2660" w:right="0" w:firstLine="0" w:firstLineChars="0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申办者（盖章）：</w:t>
      </w: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br w:type="textWrapping"/>
      </w: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日期：</w:t>
      </w:r>
    </w:p>
    <w:p w14:paraId="069C88D8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01716270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58C5FC1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52AFB7B0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p w14:paraId="758E7E67">
      <w:pPr>
        <w:spacing w:line="360" w:lineRule="auto"/>
        <w:jc w:val="left"/>
        <w:rPr>
          <w:rFonts w:hint="eastAsia" w:ascii="Times New Roman" w:hAnsi="Times New Roman" w:eastAsia="仿宋_GB2312" w:cs="Times New Roman"/>
          <w:szCs w:val="21"/>
          <w:lang w:val="en-US" w:eastAsia="zh-CN"/>
        </w:rPr>
      </w:pPr>
      <w:r>
        <w:rPr>
          <w:rFonts w:hint="eastAsia" w:ascii="黑体" w:hAnsi="黑体" w:eastAsia="黑体" w:cs="黑体"/>
          <w:szCs w:val="21"/>
          <w:lang w:val="en-US" w:eastAsia="zh-CN"/>
        </w:rPr>
        <w:t>附件2</w:t>
      </w:r>
      <w:r>
        <w:rPr>
          <w:rFonts w:hint="eastAsia" w:ascii="Times New Roman" w:hAnsi="Times New Roman" w:eastAsia="仿宋_GB2312" w:cs="Times New Roman"/>
          <w:szCs w:val="21"/>
          <w:lang w:val="en-US" w:eastAsia="zh-CN"/>
        </w:rPr>
        <w:t xml:space="preserve"> </w:t>
      </w:r>
    </w:p>
    <w:p w14:paraId="3CACF493">
      <w:pPr>
        <w:keepNext w:val="0"/>
        <w:keepLines w:val="0"/>
        <w:widowControl/>
        <w:suppressLineNumbers w:val="0"/>
        <w:jc w:val="center"/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36"/>
          <w:szCs w:val="36"/>
          <w:lang w:val="en-US" w:eastAsia="zh-CN" w:bidi="ar"/>
        </w:rPr>
        <w:t>丽水市中心医院伦理审查收费要求</w:t>
      </w:r>
    </w:p>
    <w:p w14:paraId="746075B0"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20"/>
          <w:szCs w:val="20"/>
          <w:lang w:val="en-US" w:eastAsia="zh-CN" w:bidi="ar"/>
        </w:rPr>
        <w:t xml:space="preserve">一、伦理审查收费前期准备 </w:t>
      </w:r>
    </w:p>
    <w:p w14:paraId="577E879A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0"/>
          <w:szCs w:val="20"/>
          <w:lang w:val="en-US" w:eastAsia="zh-CN" w:bidi="ar"/>
        </w:rPr>
        <w:t>申请人需按要求填写《伦理审查协议》，将信息填写完整后发送至伦理委员会秘书。根据本院流程，相关合同需先在医院内部 HRP 系统中完成审核审批，获得带有医院审批水印的合同文本后，再交由申办方/CRO 公司先行盖章。申办方/CRO 公司盖章完毕后，合同返回医院完成最终盖章。待《伦理审查协议》完成双方签署后，方可安排审查费用的支付。付款完成后，请填写《丽水市中心医院临床试验伦理审查委员会发票申请单》，并发送至邮箱 ec_lshospital_cw@163.com处理。在付款方未发生变更的情况下，后续的项目修正案审查、年度/定期跟踪审查均无需重复签署《伦理审查协议》。您只需在完成费用支付后，填写《发票申请单》并发送至电子邮箱ec_lshospital_cw@163.com 即可。</w:t>
      </w:r>
    </w:p>
    <w:p w14:paraId="5DE28F8E">
      <w:pPr>
        <w:keepNext w:val="0"/>
        <w:keepLines w:val="0"/>
        <w:widowControl/>
        <w:suppressLineNumbers w:val="0"/>
        <w:jc w:val="left"/>
      </w:pPr>
      <w:r>
        <w:rPr>
          <w:rFonts w:hint="eastAsia" w:ascii="黑体" w:hAnsi="宋体" w:eastAsia="黑体" w:cs="黑体"/>
          <w:color w:val="000000"/>
          <w:kern w:val="0"/>
          <w:sz w:val="20"/>
          <w:szCs w:val="20"/>
          <w:lang w:val="en-US" w:eastAsia="zh-CN" w:bidi="ar"/>
        </w:rPr>
        <w:t xml:space="preserve">二、伦理审查收费标准 </w:t>
      </w:r>
    </w:p>
    <w:p w14:paraId="6AB2891E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1. 收费明细：</w:t>
      </w:r>
    </w:p>
    <w:p w14:paraId="0A40EA19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（1）国际多中心项目初始审查费：5300 元（含税）。</w:t>
      </w:r>
    </w:p>
    <w:p w14:paraId="019B6A57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（2）国内项目初始审查费：4240 元（含税）。</w:t>
      </w:r>
    </w:p>
    <w:p w14:paraId="03486DA0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（3）方案或知情同意书修改的修正案审查（复审提出的知情同意书修改也需收费）：1060 </w:t>
      </w:r>
    </w:p>
    <w:p w14:paraId="00B49F44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元（含税）。</w:t>
      </w:r>
    </w:p>
    <w:p w14:paraId="38C9B9FD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（4）定期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跟踪</w:t>
      </w: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审查：1060 元（含税）。</w:t>
      </w:r>
    </w:p>
    <w:p w14:paraId="187511E8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（5）安全性信息审查、方案偏离审查、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结题</w:t>
      </w: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审查、暂停或终止研究审查、文件备案：不收费。 </w:t>
      </w:r>
    </w:p>
    <w:p w14:paraId="368B19C9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2. 伦理审查费收费账号 </w:t>
      </w:r>
    </w:p>
    <w:p w14:paraId="03C30BA0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账户名称：丽水市中心医院 </w:t>
      </w:r>
    </w:p>
    <w:p w14:paraId="6958DF92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地址：浙江省丽水市莲都区括苍路 289 号 </w:t>
      </w:r>
    </w:p>
    <w:p w14:paraId="7E65780F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开户行：工行处州支行 </w:t>
      </w:r>
    </w:p>
    <w:p w14:paraId="79655505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账号：1210200009049800152 </w:t>
      </w:r>
    </w:p>
    <w:p w14:paraId="0E7C5083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right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 xml:space="preserve">丽水市中心医院临床试验伦理审查委员会 </w:t>
      </w:r>
    </w:p>
    <w:p w14:paraId="7FDEE1FF">
      <w:pPr>
        <w:keepNext w:val="0"/>
        <w:keepLines w:val="0"/>
        <w:widowControl/>
        <w:suppressLineNumbers w:val="0"/>
        <w:spacing w:line="360" w:lineRule="auto"/>
        <w:ind w:firstLine="400" w:firstLineChars="200"/>
        <w:jc w:val="right"/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0"/>
          <w:szCs w:val="20"/>
          <w:lang w:val="en-US" w:eastAsia="zh-CN" w:bidi="ar"/>
        </w:rPr>
        <w:t>2026 年 1 月 19 日</w:t>
      </w:r>
    </w:p>
    <w:p w14:paraId="3FAFC139">
      <w:pPr>
        <w:spacing w:line="360" w:lineRule="auto"/>
        <w:jc w:val="left"/>
        <w:rPr>
          <w:rFonts w:hint="default" w:ascii="Times New Roman" w:hAnsi="Times New Roman" w:eastAsia="仿宋_GB2312" w:cs="Times New Roman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2B55789-0590-402E-A648-2A28A098A20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E014E8B5-2953-404C-ACAD-B0694F9373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2CF507A-16D3-4C97-BF36-A6F06D3494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549B020B-0F28-42FC-BD97-134FE3CED569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0AA2566C-5F6A-4F9D-814D-B8705C5ADF2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D224C816-A9A7-40B0-B421-67BAD0E2E9A7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01A0DDED-87C6-4A44-925D-A605E151C99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EF62B697-655B-4D03-B464-CDEBD49F4FB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5F0D9E32-5319-443A-9577-59324F539AEB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0" w:fontKey="{C092638B-A011-47BF-A3FD-F476D39BFCE7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  <w:embedRegular r:id="rId11" w:fontKey="{9ACFBE15-6BBE-4535-BC4F-86FEE408F05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1F1B02"/>
    <w:multiLevelType w:val="multilevel"/>
    <w:tmpl w:val="581F1B02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7557B1"/>
    <w:rsid w:val="062670CD"/>
    <w:rsid w:val="107557B1"/>
    <w:rsid w:val="11C218D7"/>
    <w:rsid w:val="2BA83E43"/>
    <w:rsid w:val="2DAC5DFC"/>
    <w:rsid w:val="4BE66413"/>
    <w:rsid w:val="4C1D6FEE"/>
    <w:rsid w:val="6412388D"/>
    <w:rsid w:val="71C32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beforeAutospacing="0" w:afterLines="0" w:afterAutospacing="0" w:line="600" w:lineRule="exact"/>
      <w:ind w:firstLine="480" w:firstLineChars="200"/>
      <w:outlineLvl w:val="0"/>
    </w:pPr>
    <w:rPr>
      <w:rFonts w:ascii="Times New Roman" w:hAnsi="Times New Roman" w:eastAsia="黑体" w:cs="Times New Roman"/>
      <w:kern w:val="44"/>
      <w:sz w:val="28"/>
      <w:szCs w:val="21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1883</Words>
  <Characters>2052</Characters>
  <Lines>0</Lines>
  <Paragraphs>0</Paragraphs>
  <TotalTime>3</TotalTime>
  <ScaleCrop>false</ScaleCrop>
  <LinksUpToDate>false</LinksUpToDate>
  <CharactersWithSpaces>2110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2026-08-17T06:33:00Z</dcterms:created>
  <dc:creator>yy</dc:creator>
  <cp:lastModifiedBy>yy</cp:lastModifiedBy>
  <dcterms:modified xsi:type="dcterms:W3CDTF">2026-09-07T03:01:23Z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4EB092AF6E7E4A2FAC2E828D253F7E8A_11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