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89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定期跟踪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报告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0"/>
        <w:gridCol w:w="2074"/>
        <w:gridCol w:w="53"/>
        <w:gridCol w:w="2101"/>
        <w:gridCol w:w="26"/>
        <w:gridCol w:w="2145"/>
      </w:tblGrid>
      <w:tr w14:paraId="6759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5" w:type="pct"/>
            <w:noWrap w:val="0"/>
            <w:vAlign w:val="center"/>
          </w:tcPr>
          <w:p w14:paraId="6CA9647E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3754" w:type="pct"/>
            <w:gridSpan w:val="5"/>
            <w:noWrap w:val="0"/>
            <w:vAlign w:val="center"/>
          </w:tcPr>
          <w:p w14:paraId="0756876B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4336D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5" w:type="pct"/>
            <w:noWrap w:val="0"/>
            <w:vAlign w:val="center"/>
          </w:tcPr>
          <w:p w14:paraId="36547F6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申办者</w:t>
            </w:r>
          </w:p>
        </w:tc>
        <w:tc>
          <w:tcPr>
            <w:tcW w:w="3754" w:type="pct"/>
            <w:gridSpan w:val="5"/>
            <w:noWrap w:val="0"/>
            <w:vAlign w:val="center"/>
          </w:tcPr>
          <w:p w14:paraId="29B1873A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080C4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5" w:type="pct"/>
            <w:noWrap w:val="0"/>
            <w:vAlign w:val="center"/>
          </w:tcPr>
          <w:p w14:paraId="0706952D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研究者</w:t>
            </w:r>
          </w:p>
        </w:tc>
        <w:tc>
          <w:tcPr>
            <w:tcW w:w="1217" w:type="pct"/>
            <w:noWrap w:val="0"/>
            <w:vAlign w:val="center"/>
          </w:tcPr>
          <w:p w14:paraId="39945C4A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264" w:type="pct"/>
            <w:gridSpan w:val="2"/>
            <w:noWrap w:val="0"/>
            <w:vAlign w:val="center"/>
          </w:tcPr>
          <w:p w14:paraId="045F2AFF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承担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专业组</w:t>
            </w:r>
          </w:p>
        </w:tc>
        <w:tc>
          <w:tcPr>
            <w:tcW w:w="1273" w:type="pct"/>
            <w:gridSpan w:val="2"/>
            <w:noWrap w:val="0"/>
            <w:vAlign w:val="center"/>
          </w:tcPr>
          <w:p w14:paraId="15B038DD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5B881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5" w:type="pct"/>
            <w:noWrap w:val="0"/>
            <w:vAlign w:val="center"/>
          </w:tcPr>
          <w:p w14:paraId="7B86B5A3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伦理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审查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委员会批准的跟踪审查频率</w:t>
            </w:r>
          </w:p>
        </w:tc>
        <w:tc>
          <w:tcPr>
            <w:tcW w:w="1217" w:type="pct"/>
            <w:noWrap w:val="0"/>
            <w:vAlign w:val="center"/>
          </w:tcPr>
          <w:p w14:paraId="134E52D2">
            <w:pPr>
              <w:spacing w:line="360" w:lineRule="auto"/>
              <w:ind w:firstLine="210" w:firstLineChars="100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264" w:type="pct"/>
            <w:gridSpan w:val="2"/>
            <w:noWrap w:val="0"/>
            <w:vAlign w:val="center"/>
          </w:tcPr>
          <w:p w14:paraId="53D9F5CB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本次报告</w:t>
            </w:r>
          </w:p>
          <w:p w14:paraId="1C447CE4"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数据起止日期</w:t>
            </w:r>
          </w:p>
        </w:tc>
        <w:tc>
          <w:tcPr>
            <w:tcW w:w="1273" w:type="pct"/>
            <w:gridSpan w:val="2"/>
            <w:noWrap w:val="0"/>
            <w:vAlign w:val="center"/>
          </w:tcPr>
          <w:p w14:paraId="2EC95A15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1948C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6"/>
            <w:noWrap w:val="0"/>
            <w:vAlign w:val="center"/>
          </w:tcPr>
          <w:p w14:paraId="7F39EDD1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</w:rPr>
              <w:t>一、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</w:rPr>
              <w:t>信息</w:t>
            </w:r>
          </w:p>
          <w:p w14:paraId="3E2406D9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合同研究总例数：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例</w:t>
            </w:r>
          </w:p>
          <w:p w14:paraId="05CFEE2E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本周期入组例数/累计入组例数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例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例</w:t>
            </w:r>
          </w:p>
          <w:p w14:paraId="0860707E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本周期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完成观察例数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累计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完成观察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例数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例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例</w:t>
            </w:r>
          </w:p>
          <w:p w14:paraId="491AC5FB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本周期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提前退出例数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累计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提前退出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例数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例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例（请另附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本周期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提前退出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试验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参与者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一览表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）</w:t>
            </w:r>
          </w:p>
          <w:p w14:paraId="4049FF4F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本周期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本机构发生的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SAE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SUSAR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例数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本机构累积发生的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SAE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SUSAR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lang w:val="en-US" w:eastAsia="zh-CN"/>
              </w:rPr>
              <w:t>总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例数：</w:t>
            </w:r>
          </w:p>
          <w:p w14:paraId="0C6F4D27">
            <w:pPr>
              <w:widowControl w:val="0"/>
              <w:numPr>
                <w:ilvl w:val="0"/>
                <w:numId w:val="0"/>
              </w:numPr>
              <w:spacing w:line="360" w:lineRule="auto"/>
              <w:ind w:firstLine="210" w:firstLineChars="100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SAE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例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SUSAR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例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SAE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例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SUSAR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例（请另附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本周期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SAE/SUSAR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一览表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）</w:t>
            </w:r>
          </w:p>
          <w:p w14:paraId="78F53F59">
            <w:pPr>
              <w:widowControl w:val="0"/>
              <w:numPr>
                <w:ilvl w:val="0"/>
                <w:numId w:val="1"/>
              </w:numPr>
              <w:spacing w:line="360" w:lineRule="auto"/>
              <w:jc w:val="both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本周期方案偏离例次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累计方案偏离例次：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例次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例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次（请另附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“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本周期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方案偏离一览表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”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）</w:t>
            </w:r>
          </w:p>
          <w:p w14:paraId="0A7EEAE3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1"/>
                <w:szCs w:val="21"/>
              </w:rPr>
              <w:t>二、研究进展情况</w:t>
            </w:r>
          </w:p>
          <w:p w14:paraId="4D3ED8E3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研究阶段：□尚未入组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□已入组，正在实施研究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□完成入组，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研究干预尚未完成  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的研究干预已经完成   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的随访已经完成  □后期数据处理阶段</w:t>
            </w:r>
          </w:p>
          <w:p w14:paraId="4FD197A0">
            <w:pPr>
              <w:spacing w:line="360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是否存在影响研究进行的情况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     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□是（请另页说明）</w:t>
            </w:r>
            <w:r>
              <w:rPr>
                <w:rFonts w:hint="eastAsia" w:ascii="仿宋_GB2312" w:hAnsi="仿宋_GB2312" w:eastAsia="仿宋_GB2312" w:cs="仿宋_GB2312"/>
              </w:rPr>
              <w:commentReference w:id="0"/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□否  </w:t>
            </w:r>
          </w:p>
          <w:p w14:paraId="49E0AACF">
            <w:pPr>
              <w:spacing w:line="360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3.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研究风险是否超过预期？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□是（请另页说明）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 xml:space="preserve"> □否</w:t>
            </w:r>
          </w:p>
          <w:p w14:paraId="03C612DA">
            <w:pPr>
              <w:spacing w:line="360" w:lineRule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</w:rPr>
              <w:t>4.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是否存在影响研究风险/受益比的文献报道或最新研究结果？□是（请另页说明）  □否</w:t>
            </w:r>
          </w:p>
          <w:p w14:paraId="43782EE8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研究中是否存在影响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权益的问题：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□是（请另页说明）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□否</w:t>
            </w:r>
          </w:p>
          <w:p w14:paraId="660BA2A4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本机构发生的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SAE/SUSAR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或方案规定必须报告的重要医学事件已经及时报告：</w:t>
            </w:r>
          </w:p>
          <w:p w14:paraId="7F840B47">
            <w:pPr>
              <w:spacing w:line="360" w:lineRule="auto"/>
              <w:ind w:firstLine="5670" w:firstLineChars="27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□是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 □否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□不适用</w:t>
            </w:r>
          </w:p>
          <w:p w14:paraId="3DA9F4B9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7.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研究过程中发生的方案偏离事件已经及时报告：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是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□不适用</w:t>
            </w:r>
          </w:p>
          <w:p w14:paraId="7A759C5B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</w:rPr>
              <w:t>8.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研究团队人员是否有变更？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□是（请另页说明）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 xml:space="preserve"> □否</w:t>
            </w:r>
          </w:p>
        </w:tc>
      </w:tr>
      <w:tr w14:paraId="713A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45" w:type="pct"/>
            <w:noWrap w:val="0"/>
            <w:vAlign w:val="center"/>
          </w:tcPr>
          <w:p w14:paraId="2DB1EF2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研究者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24"/>
                <w:szCs w:val="24"/>
              </w:rPr>
              <w:t>签名</w:t>
            </w:r>
          </w:p>
        </w:tc>
        <w:tc>
          <w:tcPr>
            <w:tcW w:w="1248" w:type="pct"/>
            <w:gridSpan w:val="2"/>
            <w:noWrap w:val="0"/>
            <w:vAlign w:val="center"/>
          </w:tcPr>
          <w:p w14:paraId="2AE5E48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48" w:type="pct"/>
            <w:gridSpan w:val="2"/>
            <w:noWrap w:val="0"/>
            <w:vAlign w:val="center"/>
          </w:tcPr>
          <w:p w14:paraId="1F6CFCD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sz w:val="24"/>
                <w:szCs w:val="24"/>
              </w:rPr>
              <w:t>日期</w:t>
            </w:r>
          </w:p>
        </w:tc>
        <w:tc>
          <w:tcPr>
            <w:tcW w:w="1257" w:type="pct"/>
            <w:noWrap w:val="0"/>
            <w:vAlign w:val="center"/>
          </w:tcPr>
          <w:p w14:paraId="3A14715D">
            <w:pP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</w:tbl>
    <w:p w14:paraId="4AF0F384"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eastAsia" w:ascii="仿宋" w:hAnsi="仿宋" w:eastAsia="仿宋"/>
          <w:kern w:val="0"/>
        </w:rPr>
      </w:pPr>
      <w:r>
        <w:rPr>
          <w:rFonts w:hint="eastAsia" w:ascii="仿宋_GB2312" w:hAnsi="仿宋_GB2312" w:eastAsia="仿宋_GB2312" w:cs="仿宋_GB2312"/>
          <w:kern w:val="0"/>
        </w:rPr>
        <w:t>注：①“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提前退出</w:t>
      </w:r>
      <w:r>
        <w:rPr>
          <w:rFonts w:hint="eastAsia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一览表”至少应包括：</w:t>
      </w:r>
      <w:r>
        <w:rPr>
          <w:rFonts w:hint="eastAsia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编号、退出原因、退出时</w:t>
      </w:r>
      <w:r>
        <w:rPr>
          <w:rFonts w:hint="eastAsia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健康情况。</w:t>
      </w:r>
      <w:r>
        <w:rPr>
          <w:rFonts w:hint="default" w:ascii="Times New Roman" w:hAnsi="Times New Roman" w:eastAsia="仿宋_GB2312" w:cs="Times New Roman"/>
          <w:kern w:val="0"/>
        </w:rPr>
        <w:t>②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“SAE/SUSAR一览表”至少应包括</w:t>
      </w:r>
      <w:r>
        <w:rPr>
          <w:rFonts w:hint="eastAsia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编号、SAE/SUSAR、具体诊断、与该临床研究的相关性、预期性、</w:t>
      </w:r>
      <w:r>
        <w:rPr>
          <w:rFonts w:hint="eastAsia" w:ascii="Times New Roman" w:hAnsi="Times New Roman" w:eastAsia="仿宋_GB2312" w:cs="Times New Roman"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转归和是否赔偿。③“方案偏离一览表”至少应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包括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编号、发生日期、发现日期、方案偏离类型、事件描述、事件发生的原因、对</w:t>
      </w:r>
      <w:r>
        <w:rPr>
          <w:rFonts w:hint="eastAsia" w:ascii="Times New Roman" w:hAnsi="Times New Roman" w:eastAsia="仿宋_GB2312" w:cs="Times New Roman"/>
          <w:bCs/>
          <w:color w:val="000000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的影响、对研究结果的影响和处理措施。其中，方案偏离类型：</w:t>
      </w:r>
      <w:r>
        <w:rPr>
          <w:rFonts w:hint="default" w:ascii="Times New Roman" w:hAnsi="Times New Roman" w:eastAsia="仿宋_GB2312" w:cs="Times New Roman"/>
          <w:kern w:val="0"/>
        </w:rPr>
        <w:t>1.</w:t>
      </w:r>
      <w:r>
        <w:rPr>
          <w:rFonts w:hint="default" w:ascii="Times New Roman" w:hAnsi="Times New Roman" w:eastAsia="仿宋_GB2312" w:cs="Times New Roman"/>
          <w:color w:val="000000"/>
          <w:kern w:val="0"/>
          <w:lang w:val="en-US" w:eastAsia="zh-CN"/>
        </w:rPr>
        <w:t>严重方案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偏离</w:t>
      </w:r>
      <w:r>
        <w:rPr>
          <w:rFonts w:hint="default" w:ascii="Times New Roman" w:hAnsi="Times New Roman" w:eastAsia="仿宋_GB2312" w:cs="Times New Roman"/>
          <w:kern w:val="0"/>
        </w:rPr>
        <w:t>：1.1纳入不符合纳入标准的</w:t>
      </w:r>
      <w:r>
        <w:rPr>
          <w:rFonts w:hint="eastAsia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；1.2研究过程中，符合提前中止研究标准而没有让</w:t>
      </w:r>
      <w:r>
        <w:rPr>
          <w:rFonts w:hint="eastAsia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退出；1.3给予</w:t>
      </w:r>
      <w:r>
        <w:rPr>
          <w:rFonts w:hint="eastAsia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错误的治疗或不正确的剂量；1.4给予</w:t>
      </w:r>
      <w:r>
        <w:rPr>
          <w:rFonts w:hint="eastAsia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方案禁用的合并用药；1.5任何偏离研究特定的程序或评估，从而对</w:t>
      </w:r>
      <w:r>
        <w:rPr>
          <w:rFonts w:hint="eastAsia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的权益、安全和健康，或对研究结果产生显著影响的研究行为。2.持续方案偏离（不属于上述重大方案偏离，但反复多次的偏离方案）。3.</w:t>
      </w:r>
      <w:r>
        <w:rPr>
          <w:rFonts w:hint="eastAsia" w:ascii="Times New Roman" w:hAnsi="Times New Roman" w:eastAsia="仿宋_GB2312" w:cs="Times New Roman"/>
          <w:kern w:val="0"/>
          <w:lang w:val="en-US" w:eastAsia="zh-CN"/>
        </w:rPr>
        <w:t>主要</w:t>
      </w:r>
      <w:r>
        <w:rPr>
          <w:rFonts w:hint="default" w:ascii="Times New Roman" w:hAnsi="Times New Roman" w:eastAsia="仿宋_GB2312" w:cs="Times New Roman"/>
          <w:kern w:val="0"/>
        </w:rPr>
        <w:t>研究者不配合监察/稽查。4.对违规事件不予以纠正。5.其它方案偏离。</w:t>
      </w:r>
    </w:p>
    <w:p w14:paraId="446851A1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20B180B5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7565770C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5610D477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6CD4B26E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049EFA98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16F8425D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4696C9AF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2B703F24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131638DD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0EC83687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4FB2AAF4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64F5A035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</w:p>
    <w:p w14:paraId="57DB894C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  <w:sectPr>
          <w:headerReference r:id="rId5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4B22E4DA">
      <w:pPr>
        <w:spacing w:after="156" w:afterLines="50" w:line="360" w:lineRule="auto"/>
        <w:ind w:left="280" w:hanging="280" w:hangingChars="100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附件1</w:t>
      </w:r>
    </w:p>
    <w:p w14:paraId="28CE79D4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本周期提前退出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试验参与者</w:t>
      </w:r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8"/>
        <w:gridCol w:w="5621"/>
        <w:gridCol w:w="5622"/>
      </w:tblGrid>
      <w:tr w14:paraId="11FDE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420E3D6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编号</w:t>
            </w:r>
          </w:p>
        </w:tc>
        <w:tc>
          <w:tcPr>
            <w:tcW w:w="1983" w:type="pct"/>
            <w:noWrap w:val="0"/>
            <w:vAlign w:val="center"/>
          </w:tcPr>
          <w:p w14:paraId="0D1372C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退出原因</w:t>
            </w:r>
          </w:p>
        </w:tc>
        <w:tc>
          <w:tcPr>
            <w:tcW w:w="1983" w:type="pct"/>
            <w:noWrap w:val="0"/>
            <w:vAlign w:val="center"/>
          </w:tcPr>
          <w:p w14:paraId="5A224BD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退出时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健康情况</w:t>
            </w:r>
          </w:p>
        </w:tc>
      </w:tr>
      <w:tr w14:paraId="726C8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2301F0A0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5B0B5076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26A09699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2B5B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0E8ECD2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22FFA4B1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29C4990A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3C6F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33" w:type="pct"/>
            <w:noWrap w:val="0"/>
            <w:vAlign w:val="center"/>
          </w:tcPr>
          <w:p w14:paraId="0FAA30E4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654142B7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983" w:type="pct"/>
            <w:noWrap w:val="0"/>
            <w:vAlign w:val="center"/>
          </w:tcPr>
          <w:p w14:paraId="3994875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56B83FCB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6BAFB018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FCE3C34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AF07D86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AF17A6B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64D0080B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1ADEF3C6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p w14:paraId="1024414C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本周期SAE/SUSAR</w:t>
      </w:r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4"/>
        <w:gridCol w:w="1760"/>
        <w:gridCol w:w="1760"/>
        <w:gridCol w:w="1761"/>
        <w:gridCol w:w="1761"/>
        <w:gridCol w:w="1764"/>
        <w:gridCol w:w="1764"/>
        <w:gridCol w:w="1764"/>
      </w:tblGrid>
      <w:tr w14:paraId="6EB7C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exact"/>
          <w:jc w:val="center"/>
        </w:trPr>
        <w:tc>
          <w:tcPr>
            <w:tcW w:w="647" w:type="pct"/>
            <w:noWrap w:val="0"/>
            <w:vAlign w:val="center"/>
          </w:tcPr>
          <w:p w14:paraId="0F4ED83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试验参与者</w:t>
            </w:r>
          </w:p>
          <w:p w14:paraId="4342BEFB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编号</w:t>
            </w:r>
          </w:p>
        </w:tc>
        <w:tc>
          <w:tcPr>
            <w:tcW w:w="621" w:type="pct"/>
            <w:noWrap w:val="0"/>
            <w:vAlign w:val="center"/>
          </w:tcPr>
          <w:p w14:paraId="145B15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/>
              </w:rPr>
              <w:t>SAE/SUSAR</w:t>
            </w:r>
          </w:p>
        </w:tc>
        <w:tc>
          <w:tcPr>
            <w:tcW w:w="621" w:type="pct"/>
            <w:noWrap w:val="0"/>
            <w:vAlign w:val="center"/>
          </w:tcPr>
          <w:p w14:paraId="5C52DED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具体诊断</w:t>
            </w:r>
          </w:p>
        </w:tc>
        <w:tc>
          <w:tcPr>
            <w:tcW w:w="621" w:type="pct"/>
            <w:noWrap w:val="0"/>
            <w:vAlign w:val="center"/>
          </w:tcPr>
          <w:p w14:paraId="38A71A5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具体情况</w:t>
            </w:r>
          </w:p>
        </w:tc>
        <w:tc>
          <w:tcPr>
            <w:tcW w:w="621" w:type="pct"/>
            <w:noWrap w:val="0"/>
            <w:vAlign w:val="center"/>
          </w:tcPr>
          <w:p w14:paraId="014BF41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与该临床研究的相关性</w:t>
            </w:r>
          </w:p>
        </w:tc>
        <w:tc>
          <w:tcPr>
            <w:tcW w:w="622" w:type="pct"/>
            <w:noWrap w:val="0"/>
            <w:vAlign w:val="center"/>
          </w:tcPr>
          <w:p w14:paraId="1C719E3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预期性</w:t>
            </w:r>
          </w:p>
        </w:tc>
        <w:tc>
          <w:tcPr>
            <w:tcW w:w="622" w:type="pct"/>
            <w:noWrap w:val="0"/>
            <w:vAlign w:val="center"/>
          </w:tcPr>
          <w:p w14:paraId="4E9A03F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试验参与者</w:t>
            </w:r>
          </w:p>
          <w:p w14:paraId="46C29A2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转归</w:t>
            </w:r>
          </w:p>
        </w:tc>
        <w:tc>
          <w:tcPr>
            <w:tcW w:w="622" w:type="pct"/>
            <w:noWrap w:val="0"/>
            <w:vAlign w:val="center"/>
          </w:tcPr>
          <w:p w14:paraId="1E9A4834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是否赔偿</w:t>
            </w:r>
          </w:p>
        </w:tc>
      </w:tr>
      <w:tr w14:paraId="16C73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6AEFCB42">
            <w:pPr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center"/>
          </w:tcPr>
          <w:p w14:paraId="3D4A89F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02FED155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center"/>
          </w:tcPr>
          <w:p w14:paraId="44F4E266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1" w:type="pct"/>
            <w:noWrap w:val="0"/>
            <w:vAlign w:val="center"/>
          </w:tcPr>
          <w:p w14:paraId="0F1CCA9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792F50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2" w:type="pct"/>
            <w:noWrap w:val="0"/>
            <w:vAlign w:val="center"/>
          </w:tcPr>
          <w:p w14:paraId="36EC6D3B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254DB4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</w:pPr>
          </w:p>
        </w:tc>
      </w:tr>
      <w:tr w14:paraId="49D4F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1F0B7FBC"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621" w:type="pct"/>
            <w:noWrap w:val="0"/>
            <w:vAlign w:val="center"/>
          </w:tcPr>
          <w:p w14:paraId="7B46C78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049FAF4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347CB3D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4C0EBEE6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2FE461E7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5DB5557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7ECC35A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1367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47" w:type="pct"/>
            <w:noWrap w:val="0"/>
            <w:vAlign w:val="center"/>
          </w:tcPr>
          <w:p w14:paraId="759FF28B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292A3FFA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0A66EDC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611932F2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1" w:type="pct"/>
            <w:noWrap w:val="0"/>
            <w:vAlign w:val="center"/>
          </w:tcPr>
          <w:p w14:paraId="1CE2688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4D948BB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7A329968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22" w:type="pct"/>
            <w:noWrap w:val="0"/>
            <w:vAlign w:val="center"/>
          </w:tcPr>
          <w:p w14:paraId="789C5A09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6AD2E0A2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642557CE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7485B3A7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03BC742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529A7C82">
      <w:pPr>
        <w:spacing w:after="156" w:afterLines="50" w:line="360" w:lineRule="auto"/>
        <w:ind w:left="280" w:hanging="280" w:hangingChars="100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p w14:paraId="2FB2BD4D">
      <w:pPr>
        <w:spacing w:after="156" w:afterLines="50" w:line="360" w:lineRule="auto"/>
        <w:jc w:val="left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p w14:paraId="4A2C40FF">
      <w:pPr>
        <w:spacing w:after="156" w:afterLines="50" w:line="360" w:lineRule="auto"/>
        <w:ind w:left="280" w:hanging="280" w:hangingChars="100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本周期方案偏离</w:t>
      </w:r>
      <w:r>
        <w:rPr>
          <w:rFonts w:hint="eastAsia" w:ascii="黑体" w:hAnsi="黑体" w:eastAsia="黑体" w:cs="黑体"/>
          <w:sz w:val="28"/>
          <w:szCs w:val="28"/>
        </w:rPr>
        <w:t>一览表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如适用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</w:p>
    <w:tbl>
      <w:tblPr>
        <w:tblStyle w:val="5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1275"/>
        <w:gridCol w:w="1275"/>
        <w:gridCol w:w="1275"/>
        <w:gridCol w:w="2124"/>
        <w:gridCol w:w="2124"/>
        <w:gridCol w:w="2124"/>
        <w:gridCol w:w="2487"/>
      </w:tblGrid>
      <w:tr w14:paraId="1C912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6594057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试验参与者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编号</w:t>
            </w:r>
          </w:p>
        </w:tc>
        <w:tc>
          <w:tcPr>
            <w:tcW w:w="450" w:type="pct"/>
            <w:noWrap w:val="0"/>
            <w:vAlign w:val="center"/>
          </w:tcPr>
          <w:p w14:paraId="1F0CCA6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发生日期</w:t>
            </w:r>
          </w:p>
        </w:tc>
        <w:tc>
          <w:tcPr>
            <w:tcW w:w="450" w:type="pct"/>
            <w:noWrap w:val="0"/>
            <w:vAlign w:val="center"/>
          </w:tcPr>
          <w:p w14:paraId="49D337B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发现日期</w:t>
            </w:r>
          </w:p>
        </w:tc>
        <w:tc>
          <w:tcPr>
            <w:tcW w:w="450" w:type="pct"/>
            <w:noWrap w:val="0"/>
            <w:vAlign w:val="center"/>
          </w:tcPr>
          <w:p w14:paraId="49BDE33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方案偏离类型</w:t>
            </w:r>
          </w:p>
        </w:tc>
        <w:tc>
          <w:tcPr>
            <w:tcW w:w="750" w:type="pct"/>
            <w:noWrap w:val="0"/>
            <w:vAlign w:val="center"/>
          </w:tcPr>
          <w:p w14:paraId="50AF24B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事件描述</w:t>
            </w:r>
          </w:p>
        </w:tc>
        <w:tc>
          <w:tcPr>
            <w:tcW w:w="750" w:type="pct"/>
            <w:noWrap w:val="0"/>
            <w:vAlign w:val="center"/>
          </w:tcPr>
          <w:p w14:paraId="1ADCA668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事件发生的原因</w:t>
            </w:r>
          </w:p>
        </w:tc>
        <w:tc>
          <w:tcPr>
            <w:tcW w:w="750" w:type="pct"/>
            <w:noWrap w:val="0"/>
            <w:vAlign w:val="center"/>
          </w:tcPr>
          <w:p w14:paraId="313723C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对试验参与者的影响</w:t>
            </w:r>
          </w:p>
        </w:tc>
        <w:tc>
          <w:tcPr>
            <w:tcW w:w="880" w:type="pct"/>
            <w:noWrap w:val="0"/>
            <w:vAlign w:val="center"/>
          </w:tcPr>
          <w:p w14:paraId="6D1984FC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对研究结果的影响和处理措施</w:t>
            </w:r>
          </w:p>
        </w:tc>
      </w:tr>
      <w:tr w14:paraId="6B313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37F57897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61404115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385B432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41AB5D0B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5E03F1A5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60750BF9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33CF813E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3C5BC81C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commentReference w:id="1"/>
            </w:r>
          </w:p>
        </w:tc>
      </w:tr>
      <w:tr w14:paraId="69CCC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17122893">
            <w:pPr>
              <w:jc w:val="center"/>
              <w:rPr>
                <w:rFonts w:hint="eastAsia" w:ascii="Times New Roman" w:hAnsi="Times New Roman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50" w:type="pct"/>
            <w:noWrap w:val="0"/>
            <w:vAlign w:val="center"/>
          </w:tcPr>
          <w:p w14:paraId="718E7193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0E963DC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6DE58F71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4265840C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956576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2B6C598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75AB33B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586BE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522" w:type="pct"/>
            <w:noWrap w:val="0"/>
            <w:vAlign w:val="center"/>
          </w:tcPr>
          <w:p w14:paraId="32AF08AA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2F15F82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1AAE3F76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noWrap w:val="0"/>
            <w:vAlign w:val="center"/>
          </w:tcPr>
          <w:p w14:paraId="0AE5A914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6789D76D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30DCA266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50" w:type="pct"/>
            <w:noWrap w:val="0"/>
            <w:vAlign w:val="center"/>
          </w:tcPr>
          <w:p w14:paraId="34332336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80" w:type="pct"/>
            <w:noWrap w:val="0"/>
            <w:vAlign w:val="center"/>
          </w:tcPr>
          <w:p w14:paraId="2C01116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</w:tbl>
    <w:p w14:paraId="0AAF58CA">
      <w:pPr>
        <w:keepNext w:val="0"/>
        <w:keepLines w:val="0"/>
        <w:widowControl/>
        <w:suppressLineNumbers w:val="0"/>
        <w:spacing w:before="120" w:beforeAutospacing="0" w:after="0" w:afterAutospacing="0"/>
        <w:ind w:left="0" w:right="0" w:firstLine="420" w:firstLineChars="200"/>
        <w:jc w:val="both"/>
        <w:rPr>
          <w:rFonts w:hint="default" w:ascii="Times New Roman" w:hAnsi="Times New Roman" w:eastAsia="仿宋_GB2312" w:cs="Times New Roman"/>
          <w:kern w:val="0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0"/>
        </w:rPr>
        <w:t>方案偏离类型：</w:t>
      </w:r>
      <w:r>
        <w:rPr>
          <w:rFonts w:hint="default" w:ascii="Times New Roman" w:hAnsi="Times New Roman" w:eastAsia="仿宋_GB2312" w:cs="Times New Roman"/>
          <w:kern w:val="0"/>
        </w:rPr>
        <w:t>1.</w:t>
      </w:r>
      <w:r>
        <w:rPr>
          <w:rFonts w:hint="default" w:ascii="Times New Roman" w:hAnsi="Times New Roman" w:eastAsia="仿宋_GB2312" w:cs="Times New Roman"/>
          <w:color w:val="000000"/>
          <w:kern w:val="0"/>
          <w:lang w:val="en-US" w:eastAsia="zh-CN"/>
        </w:rPr>
        <w:t>严重方案</w:t>
      </w:r>
      <w:r>
        <w:rPr>
          <w:rFonts w:hint="default" w:ascii="Times New Roman" w:hAnsi="Times New Roman" w:eastAsia="仿宋_GB2312" w:cs="Times New Roman"/>
          <w:color w:val="000000"/>
          <w:kern w:val="0"/>
        </w:rPr>
        <w:t>偏离</w:t>
      </w:r>
      <w:r>
        <w:rPr>
          <w:rFonts w:hint="default" w:ascii="Times New Roman" w:hAnsi="Times New Roman" w:eastAsia="仿宋_GB2312" w:cs="Times New Roman"/>
          <w:kern w:val="0"/>
        </w:rPr>
        <w:t>：1.1纳入不符合纳入标准的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；1.2研究过程中，符合提前中止研究标准而没有让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退出；1.3给予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错误的治疗或不正确的剂量；1.4给予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方案禁用的合并用药；1.5任何偏离研究特定的程序或评估，从而对</w:t>
      </w:r>
      <w:r>
        <w:rPr>
          <w:rFonts w:hint="default" w:ascii="Times New Roman" w:hAnsi="Times New Roman" w:eastAsia="仿宋_GB2312" w:cs="Times New Roman"/>
          <w:kern w:val="0"/>
          <w:lang w:eastAsia="zh-CN"/>
        </w:rPr>
        <w:t>试验参与者</w:t>
      </w:r>
      <w:r>
        <w:rPr>
          <w:rFonts w:hint="default" w:ascii="Times New Roman" w:hAnsi="Times New Roman" w:eastAsia="仿宋_GB2312" w:cs="Times New Roman"/>
          <w:kern w:val="0"/>
        </w:rPr>
        <w:t>的权益、安全和健康，或对研究结果产生显著影响的研究行为。2.持续方案偏离（不属于上述重大方案偏离，但反复多次的偏离方案）。3.</w:t>
      </w:r>
      <w:r>
        <w:rPr>
          <w:rFonts w:hint="default" w:ascii="Times New Roman" w:hAnsi="Times New Roman" w:eastAsia="仿宋_GB2312" w:cs="Times New Roman"/>
          <w:kern w:val="0"/>
          <w:lang w:val="en-US" w:eastAsia="zh-CN"/>
        </w:rPr>
        <w:t>主要</w:t>
      </w:r>
      <w:r>
        <w:rPr>
          <w:rFonts w:hint="default" w:ascii="Times New Roman" w:hAnsi="Times New Roman" w:eastAsia="仿宋_GB2312" w:cs="Times New Roman"/>
          <w:kern w:val="0"/>
        </w:rPr>
        <w:t>研究者不配合监察/稽查。4.对违规事件不予以纠正。5.其它方案偏离。</w:t>
      </w:r>
    </w:p>
    <w:p w14:paraId="689DEF1E">
      <w:pPr>
        <w:spacing w:after="156" w:afterLines="50" w:line="360" w:lineRule="auto"/>
        <w:jc w:val="left"/>
        <w:rPr>
          <w:rFonts w:hint="default" w:ascii="黑体" w:hAnsi="黑体" w:eastAsia="黑体" w:cs="黑体"/>
          <w:sz w:val="28"/>
          <w:szCs w:val="28"/>
          <w:lang w:val="en-US" w:eastAsia="zh-CN"/>
        </w:rPr>
      </w:pPr>
    </w:p>
    <w:sectPr>
      <w:headerReference r:id="rId6" w:type="default"/>
      <w:footerReference r:id="rId7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yy" w:date="2021-11-26T15:26:28Z" w:initials="">
    <w:p w14:paraId="45875F48">
      <w:pPr>
        <w:pStyle w:val="2"/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对研究影响的判定须由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主要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研究者手写完成；递交文件中凡以机打方式预先选定影响</w:t>
      </w:r>
      <w:r>
        <w:rPr>
          <w:rFonts w:hint="eastAsia" w:ascii="Segoe UI" w:hAnsi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与否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者，不予接收。</w:t>
      </w:r>
    </w:p>
  </w:comment>
  <w:comment w:id="1" w:author="yy" w:date="2021-11-26T11:05:17Z" w:initials="">
    <w:p w14:paraId="52372922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处理措施若为加强培训类的内容，请递交相关培训材料，否则不予接收！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45875F48" w15:done="0"/>
  <w15:commentEx w15:paraId="5237292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DC5A95F7-9437-44D0-B66C-A6E1C1B3463C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51BCBB31-5480-45B5-8D46-D3BAF6EF0DD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3A3DFF5-1891-4B80-B691-E70DEC1F70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3A161C04-908F-4B99-B030-3B449437EE5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C138BC59-F89D-41E7-8D45-12370501984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20CA8A48-68DE-4829-9D12-B6942DF5E8DC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D87147B6-3990-497B-814C-FDEB9651AF8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36CC03E9-7637-4521-BCC9-5231911ECBD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9" w:fontKey="{8AC79873-33C5-4AE9-ADEA-221AF481DDAC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10" w:fontKey="{B8FDAC57-63C5-4F75-B387-A68EA67C02C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1" w:fontKey="{2D9F9A5F-03B6-444C-A022-82171EF59FD5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DC9CC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D2E1C1D">
                <w:pPr>
                  <w:rPr>
                    <w:rFonts w:hint="default"/>
                  </w:rPr>
                </w:pP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3C503">
    <w:pPr>
      <w:pStyle w:val="4"/>
      <w:jc w:val="left"/>
      <w:rPr>
        <w:rFonts w:hint="eastAsia" w:ascii="仿宋_GB2312" w:hAnsi="仿宋_GB2312" w:eastAsia="仿宋_GB2312" w:cs="仿宋_GB2312"/>
        <w:lang w:val="en-US" w:eastAsia="zh-CN"/>
      </w:rPr>
    </w:pPr>
    <w:r>
      <w:rPr>
        <w:rFonts w:hint="eastAsia" w:ascii="仿宋_GB2312" w:hAnsi="仿宋_GB2312" w:eastAsia="仿宋_GB2312" w:cs="仿宋_GB2312"/>
      </w:rPr>
      <w:t>丽水市中心医院 临床试验伦理</w:t>
    </w:r>
    <w:r>
      <w:rPr>
        <w:rFonts w:hint="eastAsia" w:ascii="仿宋_GB2312" w:hAnsi="仿宋_GB2312" w:eastAsia="仿宋_GB2312" w:cs="仿宋_GB2312"/>
        <w:lang w:val="en-US" w:eastAsia="zh-CN"/>
      </w:rPr>
      <w:t>审查</w:t>
    </w:r>
    <w:r>
      <w:rPr>
        <w:rFonts w:hint="eastAsia" w:ascii="仿宋_GB2312" w:hAnsi="仿宋_GB2312" w:eastAsia="仿宋_GB2312" w:cs="仿宋_GB2312"/>
      </w:rPr>
      <w:t>委员会</w:t>
    </w:r>
    <w:r>
      <w:rPr>
        <w:rFonts w:hint="eastAsia" w:ascii="仿宋_GB2312" w:hAnsi="仿宋_GB2312" w:eastAsia="仿宋_GB2312" w:cs="仿宋_GB2312"/>
        <w:lang w:val="en-US" w:eastAsia="zh-CN"/>
      </w:rPr>
      <w:t xml:space="preserve">      </w:t>
    </w:r>
    <w:r>
      <w:rPr>
        <w:rFonts w:hint="eastAsia" w:ascii="仿宋_GB2312" w:hAnsi="仿宋_GB2312" w:eastAsia="仿宋_GB2312" w:cs="仿宋_GB2312"/>
      </w:rPr>
      <w:t xml:space="preserve">  </w:t>
    </w:r>
    <w:r>
      <w:rPr>
        <w:rFonts w:hint="eastAsia" w:ascii="仿宋_GB2312" w:hAnsi="仿宋_GB2312" w:eastAsia="仿宋_GB2312" w:cs="仿宋_GB2312"/>
        <w:lang w:val="en-US" w:eastAsia="zh-CN"/>
      </w:rPr>
      <w:t xml:space="preserve">               </w:t>
    </w:r>
    <w:r>
      <w:rPr>
        <w:rFonts w:hint="eastAsia" w:ascii="仿宋_GB2312" w:hAnsi="仿宋_GB2312" w:eastAsia="仿宋_GB2312" w:cs="仿宋_GB2312"/>
      </w:rPr>
      <w:t xml:space="preserve">  </w:t>
    </w:r>
    <w:r>
      <w:rPr>
        <w:rFonts w:hint="eastAsia" w:ascii="仿宋_GB2312" w:hAnsi="仿宋_GB2312" w:eastAsia="仿宋_GB2312" w:cs="仿宋_GB2312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</w:rPr>
      <w:t xml:space="preserve">                 </w:t>
    </w:r>
    <w:r>
      <w:rPr>
        <w:rFonts w:hint="default" w:ascii="Times New Roman" w:hAnsi="Times New Roman" w:eastAsia="仿宋_GB2312" w:cs="Times New Roman"/>
      </w:rPr>
      <w:t>AF/SS-04/</w:t>
    </w:r>
    <w:r>
      <w:rPr>
        <w:rFonts w:hint="default" w:ascii="Times New Roman" w:hAnsi="Times New Roman" w:eastAsia="仿宋_GB2312" w:cs="Times New Roman"/>
        <w:lang w:val="en-US" w:eastAsia="zh-CN"/>
      </w:rPr>
      <w:t>04.0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7CB876">
    <w:pPr>
      <w:pStyle w:val="4"/>
      <w:pBdr>
        <w:bottom w:val="none" w:color="auto" w:sz="0" w:space="1"/>
      </w:pBdr>
      <w:rPr>
        <w:rFonts w:hint="default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2A57C59"/>
    <w:multiLevelType w:val="singleLevel"/>
    <w:tmpl w:val="52A57C59"/>
    <w:lvl w:ilvl="0" w:tentative="0">
      <w:start w:val="1"/>
      <w:numFmt w:val="decimal"/>
      <w:suff w:val="nothing"/>
      <w:lvlText w:val="%1."/>
      <w:lvlJc w:val="left"/>
      <w:rPr>
        <w:rFonts w:hint="default" w:ascii="Times New Roman" w:hAnsi="Times New Roman" w:cs="Times New Roman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yy">
    <w15:presenceInfo w15:providerId="WPS Office" w15:userId="302225417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NotTrackMoves/>
  <w:revisionView w:markup="0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YzNjBkOTgyNWQ1YTMxYzM3MzMwNWFiODNmOWIzYWMifQ=="/>
  </w:docVars>
  <w:rsids>
    <w:rsidRoot w:val="008F5E30"/>
    <w:rsid w:val="00047EB3"/>
    <w:rsid w:val="00054970"/>
    <w:rsid w:val="000A3BA5"/>
    <w:rsid w:val="00191623"/>
    <w:rsid w:val="002565BA"/>
    <w:rsid w:val="00263243"/>
    <w:rsid w:val="002971FA"/>
    <w:rsid w:val="002A6D3F"/>
    <w:rsid w:val="002D4010"/>
    <w:rsid w:val="003B0F81"/>
    <w:rsid w:val="003D53F9"/>
    <w:rsid w:val="00425F01"/>
    <w:rsid w:val="004518C0"/>
    <w:rsid w:val="00483DBC"/>
    <w:rsid w:val="005A5015"/>
    <w:rsid w:val="005F61B4"/>
    <w:rsid w:val="0065590F"/>
    <w:rsid w:val="006B0B31"/>
    <w:rsid w:val="006C0CCB"/>
    <w:rsid w:val="006C407F"/>
    <w:rsid w:val="006C6958"/>
    <w:rsid w:val="006F70E8"/>
    <w:rsid w:val="007766B6"/>
    <w:rsid w:val="007E0BF5"/>
    <w:rsid w:val="007E2C8B"/>
    <w:rsid w:val="00850858"/>
    <w:rsid w:val="00883851"/>
    <w:rsid w:val="00883CAC"/>
    <w:rsid w:val="008A4DFE"/>
    <w:rsid w:val="008A5431"/>
    <w:rsid w:val="008F5E30"/>
    <w:rsid w:val="00917130"/>
    <w:rsid w:val="00931AE3"/>
    <w:rsid w:val="00990279"/>
    <w:rsid w:val="009A2827"/>
    <w:rsid w:val="009D2CC1"/>
    <w:rsid w:val="009E6819"/>
    <w:rsid w:val="009E6FD8"/>
    <w:rsid w:val="009F4F52"/>
    <w:rsid w:val="009F7A99"/>
    <w:rsid w:val="00A82411"/>
    <w:rsid w:val="00AA09AB"/>
    <w:rsid w:val="00AB33B9"/>
    <w:rsid w:val="00AB6860"/>
    <w:rsid w:val="00B05179"/>
    <w:rsid w:val="00B1620C"/>
    <w:rsid w:val="00B3756F"/>
    <w:rsid w:val="00B57C14"/>
    <w:rsid w:val="00B911D5"/>
    <w:rsid w:val="00C0695B"/>
    <w:rsid w:val="00C4532B"/>
    <w:rsid w:val="00C52F53"/>
    <w:rsid w:val="00CB1662"/>
    <w:rsid w:val="00CE0764"/>
    <w:rsid w:val="00D227CE"/>
    <w:rsid w:val="00D23BCA"/>
    <w:rsid w:val="00D374F8"/>
    <w:rsid w:val="00D83E0F"/>
    <w:rsid w:val="00DE2F54"/>
    <w:rsid w:val="00E1039C"/>
    <w:rsid w:val="00E23182"/>
    <w:rsid w:val="00E248BC"/>
    <w:rsid w:val="00E65B2B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41D69D7"/>
    <w:rsid w:val="04810C52"/>
    <w:rsid w:val="07E54E46"/>
    <w:rsid w:val="07F92B06"/>
    <w:rsid w:val="08DF56F4"/>
    <w:rsid w:val="0A682522"/>
    <w:rsid w:val="0C340DAF"/>
    <w:rsid w:val="0CCB0469"/>
    <w:rsid w:val="0FF61DD3"/>
    <w:rsid w:val="10022619"/>
    <w:rsid w:val="10A35309"/>
    <w:rsid w:val="10C022CD"/>
    <w:rsid w:val="11261629"/>
    <w:rsid w:val="114333A1"/>
    <w:rsid w:val="11CC75B9"/>
    <w:rsid w:val="11E72761"/>
    <w:rsid w:val="16362124"/>
    <w:rsid w:val="176B67A7"/>
    <w:rsid w:val="1A7603C9"/>
    <w:rsid w:val="1AA07D5C"/>
    <w:rsid w:val="1CD11494"/>
    <w:rsid w:val="1EB07C72"/>
    <w:rsid w:val="1F2E1E38"/>
    <w:rsid w:val="1FB65DB1"/>
    <w:rsid w:val="20717F2A"/>
    <w:rsid w:val="2399227A"/>
    <w:rsid w:val="243318B8"/>
    <w:rsid w:val="24567C8F"/>
    <w:rsid w:val="26813BD5"/>
    <w:rsid w:val="27361586"/>
    <w:rsid w:val="2A51085F"/>
    <w:rsid w:val="2BBC0D5C"/>
    <w:rsid w:val="2C136294"/>
    <w:rsid w:val="2C2422F5"/>
    <w:rsid w:val="2E8361EB"/>
    <w:rsid w:val="2EDF2503"/>
    <w:rsid w:val="2FAB0D4A"/>
    <w:rsid w:val="30751371"/>
    <w:rsid w:val="309C02EE"/>
    <w:rsid w:val="31DC56CD"/>
    <w:rsid w:val="34FD28FF"/>
    <w:rsid w:val="352B0501"/>
    <w:rsid w:val="35775243"/>
    <w:rsid w:val="37D21444"/>
    <w:rsid w:val="3D765006"/>
    <w:rsid w:val="431C1BDE"/>
    <w:rsid w:val="47B64310"/>
    <w:rsid w:val="48E16144"/>
    <w:rsid w:val="49CB2919"/>
    <w:rsid w:val="4CBC456C"/>
    <w:rsid w:val="4D5D61EB"/>
    <w:rsid w:val="4DDA6DAB"/>
    <w:rsid w:val="4E984A16"/>
    <w:rsid w:val="4F3E5FA1"/>
    <w:rsid w:val="52AD5EA9"/>
    <w:rsid w:val="54AA21A8"/>
    <w:rsid w:val="55745432"/>
    <w:rsid w:val="57F25637"/>
    <w:rsid w:val="58401DE4"/>
    <w:rsid w:val="5C991B08"/>
    <w:rsid w:val="5DDE6FA2"/>
    <w:rsid w:val="60BF27B5"/>
    <w:rsid w:val="62CA405D"/>
    <w:rsid w:val="64A4080E"/>
    <w:rsid w:val="64E46B75"/>
    <w:rsid w:val="66976E7B"/>
    <w:rsid w:val="686B01B1"/>
    <w:rsid w:val="68BF2FA9"/>
    <w:rsid w:val="68DB3BE2"/>
    <w:rsid w:val="692A7468"/>
    <w:rsid w:val="69F1638C"/>
    <w:rsid w:val="6A9B4C58"/>
    <w:rsid w:val="6AB22139"/>
    <w:rsid w:val="6E055933"/>
    <w:rsid w:val="738D4520"/>
    <w:rsid w:val="75190AC4"/>
    <w:rsid w:val="7874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6">
    <w:name w:val="Table Grid"/>
    <w:basedOn w:val="5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link w:val="4"/>
    <w:semiHidden/>
    <w:qFormat/>
    <w:locked/>
    <w:uiPriority w:val="99"/>
    <w:rPr>
      <w:sz w:val="18"/>
    </w:rPr>
  </w:style>
  <w:style w:type="character" w:customStyle="1" w:styleId="9">
    <w:name w:val="页脚 字符"/>
    <w:link w:val="3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</customShpExts>
</s:customData>
</file>

<file path=customXml/item2.xml><?xml version="1.0" encoding="utf-8"?>
<contractReview xmlns="http://schemas.wps.cn/vas-ai-hub/contract-review">
  <reviewItems>
    <reviewItem>
      <errorID>c2451c8b-2886-4bf7-be93-8119eb0ffd8e</errorID>
      <errorWord>予以</errorWord>
      <group>L1_Word</group>
      <groupName>字词问题</groupName>
      <ability>L2_Typo</ability>
      <abilityName>字词错误</abilityName>
      <candidateList>
        <item>予</item>
      </candidateList>
      <explain/>
      <paraID>4AF0F384</paraID>
      <start>418</start>
      <end>420</end>
      <status>unmodified</status>
      <modifiedWord/>
      <trackRevisions>false</trackRevisions>
    </reviewItem>
    <reviewItem>
      <errorID>f900c1fc-3e39-4614-aed3-e6ff8afdd5ab</errorID>
      <errorWord>其它方案</errorWord>
      <group>L1_Word</group>
      <groupName>字词问题</groupName>
      <ability>L2_Alias</ability>
      <abilityName>也作/曾用词</abilityName>
      <candidateList>
        <item>其他方案</item>
      </candidateList>
      <explain>词汇[其它方案]为不规范表述或旧称，其规范书面表述为[其他方案]。</explain>
      <paraID>4AF0F384</paraID>
      <start>425</start>
      <end>429</end>
      <status>unmodified</status>
      <modifiedWord/>
      <trackRevisions>false</trackRevisions>
    </reviewItem>
    <reviewItem>
      <errorID>577c9f52-11dd-4e31-839a-88dbf582bebe</errorID>
      <errorWord>予以</errorWord>
      <group>L1_Word</group>
      <groupName>字词问题</groupName>
      <ability>L2_Typo</ability>
      <abilityName>字词错误</abilityName>
      <candidateList>
        <item>予</item>
      </candidateList>
      <explain/>
      <paraID> AAF58CA</paraID>
      <start>218</start>
      <end>220</end>
      <status>unmodified</status>
      <modifiedWord/>
      <trackRevisions>false</trackRevisions>
    </reviewItem>
    <reviewItem>
      <errorID>780302b6-21a1-416f-bbfe-85e7b677a22e</errorID>
      <errorWord>其它方案</errorWord>
      <group>L1_Word</group>
      <groupName>字词问题</groupName>
      <ability>L2_Alias</ability>
      <abilityName>也作/曾用词</abilityName>
      <candidateList>
        <item>其他方案</item>
      </candidateList>
      <explain>词汇[其它方案]为不规范表述或旧称，其规范书面表述为[其他方案]。</explain>
      <paraID> AAF58CA</paraID>
      <start>225</start>
      <end>229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8bd81b-bf46-42be-b6fc-d4f7f62c36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1346</Words>
  <Characters>1458</Characters>
  <Lines>3</Lines>
  <Paragraphs>1</Paragraphs>
  <TotalTime>2</TotalTime>
  <ScaleCrop>false</ScaleCrop>
  <LinksUpToDate>false</LinksUpToDate>
  <CharactersWithSpaces>1662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yy</cp:lastModifiedBy>
  <cp:lastPrinted>2026-08-31T09:21:00Z</cp:lastPrinted>
  <dcterms:modified xsi:type="dcterms:W3CDTF">2026-09-07T03:03:34Z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1866D26547F84F4698334C899AE384F0</vt:lpwstr>
  </property>
  <property fmtid="{D5CDD505-2E9C-101B-9397-08002B2CF9AE}" pid="4" name="KSOTemplateDocerSaveRecord">
    <vt:lpwstr>eyJoZGlkIjoiZDk2ZTVlZGUxMThjMGQ3ZmEyNzM1NDRhNmZmMDBhZTQiLCJ1c2VySWQiOiIyNTc2MjkwNTEifQ==</vt:lpwstr>
  </property>
</Properties>
</file>