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A9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方案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偏离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报告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1882"/>
        <w:gridCol w:w="244"/>
        <w:gridCol w:w="2004"/>
        <w:gridCol w:w="124"/>
        <w:gridCol w:w="2143"/>
      </w:tblGrid>
      <w:tr w14:paraId="10EDE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99D38">
            <w:pPr>
              <w:autoSpaceDE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项目名称</w:t>
            </w:r>
          </w:p>
        </w:tc>
        <w:tc>
          <w:tcPr>
            <w:tcW w:w="37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62E11">
            <w:pPr>
              <w:autoSpaceDE w:val="0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  <w:tr w14:paraId="6DF55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509A5">
            <w:pPr>
              <w:autoSpaceDE w:val="0"/>
              <w:jc w:val="center"/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申办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者</w:t>
            </w:r>
          </w:p>
        </w:tc>
        <w:tc>
          <w:tcPr>
            <w:tcW w:w="37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71FA4">
            <w:pPr>
              <w:autoSpaceDE w:val="0"/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  <w:tr w14:paraId="251D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02C52">
            <w:pPr>
              <w:autoSpaceDE w:val="0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研究者</w:t>
            </w:r>
          </w:p>
        </w:tc>
        <w:tc>
          <w:tcPr>
            <w:tcW w:w="11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E7C2D">
            <w:pPr>
              <w:autoSpaceDE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</w:rPr>
            </w:pPr>
          </w:p>
        </w:tc>
        <w:tc>
          <w:tcPr>
            <w:tcW w:w="13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2A87A">
            <w:pPr>
              <w:autoSpaceDE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承担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专业组</w:t>
            </w:r>
          </w:p>
        </w:tc>
        <w:tc>
          <w:tcPr>
            <w:tcW w:w="13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6FF74">
            <w:pPr>
              <w:autoSpaceDE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</w:rPr>
            </w:pPr>
          </w:p>
        </w:tc>
      </w:tr>
      <w:tr w14:paraId="333B7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304B4">
            <w:pPr>
              <w:autoSpaceDE w:val="0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伦理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审查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委员会批准的跟踪审查频率</w:t>
            </w:r>
          </w:p>
        </w:tc>
        <w:tc>
          <w:tcPr>
            <w:tcW w:w="37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573C3">
            <w:pPr>
              <w:autoSpaceDE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lang w:val="en-US" w:eastAsia="zh-CN"/>
              </w:rPr>
              <w:t>个月</w:t>
            </w:r>
          </w:p>
        </w:tc>
      </w:tr>
      <w:tr w14:paraId="2B2FA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09602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</w:rPr>
              <w:t>一、研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究阶段</w:t>
            </w:r>
          </w:p>
          <w:p w14:paraId="00BE6F74">
            <w:pPr>
              <w:autoSpaceDE w:val="0"/>
              <w:spacing w:line="273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□尚未入组    □已入组，正在实施研究     □完成入组，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研究干预尚未完成  </w:t>
            </w:r>
          </w:p>
          <w:p w14:paraId="3DD32DA8">
            <w:pPr>
              <w:autoSpaceDE w:val="0"/>
              <w:spacing w:line="273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的研究干预已经完成  □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的随访已经完成   □后期数据处理阶段</w:t>
            </w:r>
          </w:p>
          <w:p w14:paraId="1742C424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lang w:val="en-US" w:eastAsia="zh-CN"/>
              </w:rPr>
              <w:t>二、试验参与者信息</w:t>
            </w:r>
          </w:p>
          <w:p w14:paraId="761DC2B1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已入组例数：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例</w:t>
            </w:r>
          </w:p>
          <w:p w14:paraId="2E569436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完成观察例数：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例</w:t>
            </w:r>
          </w:p>
          <w:p w14:paraId="566257C2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提前退出例数：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例</w:t>
            </w:r>
          </w:p>
          <w:p w14:paraId="63CD4570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、方案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lang w:val="en-US" w:eastAsia="zh-CN"/>
              </w:rPr>
              <w:t>偏离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一览表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</w:rPr>
              <w:t>（可另附页，至少应包括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</w:rPr>
              <w:t>编号、发生日期、发现日期、方案偏离类型、事件描述、事件发生的原因、对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</w:rPr>
              <w:t>的影响、对研究结果的影响和处理措施。）</w:t>
            </w:r>
          </w:p>
          <w:p w14:paraId="1C1F33A5">
            <w:pPr>
              <w:autoSpaceDE w:val="0"/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</w:rPr>
            </w:pPr>
          </w:p>
          <w:p w14:paraId="77D80BBE">
            <w:pPr>
              <w:autoSpaceDE w:val="0"/>
              <w:spacing w:line="312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</w:pPr>
          </w:p>
        </w:tc>
      </w:tr>
      <w:tr w14:paraId="1D6AE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A5EE2">
            <w:pPr>
              <w:autoSpaceDE w:val="0"/>
              <w:spacing w:line="312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</w:rPr>
              <w:t>研究者签名</w:t>
            </w:r>
          </w:p>
        </w:tc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38B36">
            <w:pPr>
              <w:autoSpaceDE w:val="0"/>
              <w:spacing w:line="312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</w:rPr>
            </w:pPr>
          </w:p>
        </w:tc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9D02F">
            <w:pPr>
              <w:autoSpaceDE w:val="0"/>
              <w:spacing w:line="312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</w:rPr>
              <w:t>日期</w:t>
            </w:r>
          </w:p>
        </w:tc>
        <w:tc>
          <w:tcPr>
            <w:tcW w:w="1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4932E">
            <w:pPr>
              <w:autoSpaceDE w:val="0"/>
              <w:spacing w:line="312" w:lineRule="auto"/>
              <w:rPr>
                <w:rFonts w:hint="eastAsia" w:ascii="仿宋_GB2312" w:hAnsi="仿宋_GB2312" w:eastAsia="仿宋_GB2312" w:cs="仿宋_GB2312"/>
                <w:bCs/>
                <w:color w:val="000000"/>
              </w:rPr>
            </w:pPr>
          </w:p>
        </w:tc>
      </w:tr>
    </w:tbl>
    <w:p w14:paraId="58DBE52C">
      <w:pPr>
        <w:widowControl/>
        <w:jc w:val="left"/>
        <w:rPr>
          <w:rFonts w:hint="eastAsia" w:ascii="仿宋_GB2312" w:hAnsi="仿宋_GB2312" w:eastAsia="仿宋_GB2312" w:cs="仿宋_GB2312"/>
          <w:b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zCs w:val="24"/>
        </w:rPr>
        <w:t>注：方案偏离类型：</w:t>
      </w:r>
    </w:p>
    <w:p w14:paraId="2B9CCE84">
      <w:pPr>
        <w:widowControl/>
        <w:spacing w:line="273" w:lineRule="auto"/>
        <w:jc w:val="left"/>
        <w:rPr>
          <w:rFonts w:hint="default" w:ascii="Times New Roman" w:hAnsi="Times New Roman" w:eastAsia="仿宋_GB2312" w:cs="Times New Roman"/>
          <w:color w:val="000000"/>
          <w:kern w:val="0"/>
        </w:rPr>
      </w:pPr>
      <w:r>
        <w:rPr>
          <w:rFonts w:hint="default" w:ascii="Times New Roman" w:hAnsi="Times New Roman" w:eastAsia="仿宋_GB2312" w:cs="Times New Roman"/>
          <w:color w:val="000000"/>
          <w:kern w:val="0"/>
        </w:rPr>
        <w:t>1.</w:t>
      </w:r>
      <w:r>
        <w:rPr>
          <w:rFonts w:hint="default" w:ascii="Times New Roman" w:hAnsi="Times New Roman" w:eastAsia="仿宋_GB2312" w:cs="Times New Roman"/>
          <w:color w:val="000000"/>
          <w:kern w:val="0"/>
          <w:lang w:val="en-US" w:eastAsia="zh-CN"/>
        </w:rPr>
        <w:t>严重方案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偏离</w:t>
      </w:r>
    </w:p>
    <w:p w14:paraId="19C6DAC8">
      <w:pPr>
        <w:widowControl/>
        <w:spacing w:line="273" w:lineRule="auto"/>
        <w:jc w:val="left"/>
        <w:rPr>
          <w:rFonts w:hint="default" w:ascii="Times New Roman" w:hAnsi="Times New Roman" w:eastAsia="仿宋_GB2312" w:cs="Times New Roman"/>
          <w:color w:val="000000"/>
          <w:kern w:val="0"/>
        </w:rPr>
      </w:pPr>
      <w:r>
        <w:rPr>
          <w:rFonts w:hint="default" w:ascii="Times New Roman" w:hAnsi="Times New Roman" w:eastAsia="仿宋_GB2312" w:cs="Times New Roman"/>
          <w:color w:val="000000"/>
          <w:kern w:val="0"/>
        </w:rPr>
        <w:t>1.1纳入不符合纳入标准的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；</w:t>
      </w:r>
    </w:p>
    <w:p w14:paraId="48EA302B">
      <w:pPr>
        <w:widowControl/>
        <w:spacing w:line="273" w:lineRule="auto"/>
        <w:jc w:val="left"/>
        <w:rPr>
          <w:rFonts w:hint="default" w:ascii="Times New Roman" w:hAnsi="Times New Roman" w:eastAsia="仿宋_GB2312" w:cs="Times New Roman"/>
          <w:color w:val="000000"/>
          <w:kern w:val="0"/>
        </w:rPr>
      </w:pPr>
      <w:r>
        <w:rPr>
          <w:rFonts w:hint="default" w:ascii="Times New Roman" w:hAnsi="Times New Roman" w:eastAsia="仿宋_GB2312" w:cs="Times New Roman"/>
          <w:color w:val="000000"/>
          <w:kern w:val="0"/>
        </w:rPr>
        <w:t>1.2研究过程中，符合提前中止研究标准而没有让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退出；</w:t>
      </w:r>
    </w:p>
    <w:p w14:paraId="4F531624">
      <w:pPr>
        <w:widowControl/>
        <w:spacing w:line="273" w:lineRule="auto"/>
        <w:jc w:val="left"/>
        <w:rPr>
          <w:rFonts w:hint="default" w:ascii="Times New Roman" w:hAnsi="Times New Roman" w:eastAsia="仿宋_GB2312" w:cs="Times New Roman"/>
          <w:color w:val="000000"/>
          <w:kern w:val="0"/>
        </w:rPr>
      </w:pPr>
      <w:r>
        <w:rPr>
          <w:rFonts w:hint="default" w:ascii="Times New Roman" w:hAnsi="Times New Roman" w:eastAsia="仿宋_GB2312" w:cs="Times New Roman"/>
          <w:color w:val="000000"/>
          <w:kern w:val="0"/>
        </w:rPr>
        <w:t>1.3给予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错误的治疗或不正确的剂量；</w:t>
      </w:r>
    </w:p>
    <w:p w14:paraId="6D9CC055">
      <w:pPr>
        <w:widowControl/>
        <w:spacing w:line="273" w:lineRule="auto"/>
        <w:jc w:val="left"/>
        <w:rPr>
          <w:rFonts w:hint="default" w:ascii="Times New Roman" w:hAnsi="Times New Roman" w:eastAsia="仿宋_GB2312" w:cs="Times New Roman"/>
          <w:color w:val="000000"/>
          <w:kern w:val="0"/>
        </w:rPr>
      </w:pPr>
      <w:r>
        <w:rPr>
          <w:rFonts w:hint="default" w:ascii="Times New Roman" w:hAnsi="Times New Roman" w:eastAsia="仿宋_GB2312" w:cs="Times New Roman"/>
          <w:color w:val="000000"/>
          <w:kern w:val="0"/>
        </w:rPr>
        <w:t>1.4给予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方案禁用的合并用药；</w:t>
      </w:r>
    </w:p>
    <w:p w14:paraId="44CF6C90">
      <w:pPr>
        <w:widowControl/>
        <w:spacing w:line="273" w:lineRule="auto"/>
        <w:jc w:val="left"/>
        <w:rPr>
          <w:rFonts w:hint="default" w:ascii="Times New Roman" w:hAnsi="Times New Roman" w:eastAsia="仿宋_GB2312" w:cs="Times New Roman"/>
          <w:color w:val="000000"/>
          <w:kern w:val="0"/>
        </w:rPr>
      </w:pPr>
      <w:r>
        <w:rPr>
          <w:rFonts w:hint="default" w:ascii="Times New Roman" w:hAnsi="Times New Roman" w:eastAsia="仿宋_GB2312" w:cs="Times New Roman"/>
          <w:color w:val="000000"/>
          <w:kern w:val="0"/>
        </w:rPr>
        <w:t>1.5任何偏离研究特定的程序或评估，从而对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的权益、安全和健康，或对研究结果产生显著影响的研究行为；</w:t>
      </w:r>
    </w:p>
    <w:p w14:paraId="260DFE5C">
      <w:pPr>
        <w:widowControl/>
        <w:spacing w:line="273" w:lineRule="auto"/>
        <w:jc w:val="left"/>
        <w:rPr>
          <w:rFonts w:hint="default" w:ascii="Times New Roman" w:hAnsi="Times New Roman" w:eastAsia="仿宋_GB2312" w:cs="Times New Roman"/>
          <w:color w:val="000000"/>
          <w:kern w:val="0"/>
        </w:rPr>
      </w:pPr>
      <w:r>
        <w:rPr>
          <w:rFonts w:hint="default" w:ascii="Times New Roman" w:hAnsi="Times New Roman" w:eastAsia="仿宋_GB2312" w:cs="Times New Roman"/>
          <w:color w:val="000000"/>
          <w:kern w:val="0"/>
        </w:rPr>
        <w:t>2.持续方案偏离（不属于上述重大方案偏离，但反复多次的偏离方案）（指同一研究人员的同一违规行为在被要求纠正后，再次发生）；</w:t>
      </w:r>
    </w:p>
    <w:p w14:paraId="53C58523">
      <w:pPr>
        <w:widowControl/>
        <w:spacing w:line="273" w:lineRule="auto"/>
        <w:jc w:val="left"/>
        <w:rPr>
          <w:rFonts w:hint="default" w:ascii="Times New Roman" w:hAnsi="Times New Roman" w:eastAsia="仿宋_GB2312" w:cs="Times New Roman"/>
          <w:color w:val="000000"/>
          <w:kern w:val="0"/>
        </w:rPr>
      </w:pPr>
      <w:r>
        <w:rPr>
          <w:rFonts w:hint="default" w:ascii="Times New Roman" w:hAnsi="Times New Roman" w:eastAsia="仿宋_GB2312" w:cs="Times New Roman"/>
          <w:color w:val="000000"/>
          <w:kern w:val="0"/>
        </w:rPr>
        <w:t>3.研究者不配合监察/稽查；</w:t>
      </w:r>
    </w:p>
    <w:p w14:paraId="217C633C">
      <w:pPr>
        <w:widowControl/>
        <w:spacing w:line="273" w:lineRule="auto"/>
        <w:jc w:val="left"/>
        <w:rPr>
          <w:rFonts w:hint="default" w:ascii="Times New Roman" w:hAnsi="Times New Roman" w:eastAsia="仿宋_GB2312" w:cs="Times New Roman"/>
          <w:color w:val="000000"/>
          <w:kern w:val="0"/>
        </w:rPr>
      </w:pPr>
      <w:r>
        <w:rPr>
          <w:rFonts w:hint="default" w:ascii="Times New Roman" w:hAnsi="Times New Roman" w:eastAsia="仿宋_GB2312" w:cs="Times New Roman"/>
          <w:color w:val="000000"/>
          <w:kern w:val="0"/>
        </w:rPr>
        <w:t>4.对违规事件不予以纠正；</w:t>
      </w:r>
    </w:p>
    <w:p w14:paraId="0EB5FB18">
      <w:pPr>
        <w:widowControl/>
        <w:spacing w:line="273" w:lineRule="auto"/>
        <w:jc w:val="left"/>
        <w:rPr>
          <w:rFonts w:hint="default" w:ascii="Times New Roman" w:hAnsi="Times New Roman" w:eastAsia="仿宋" w:cs="Times New Roman"/>
          <w:color w:val="000000"/>
          <w:kern w:val="0"/>
          <w:lang w:eastAsia="zh-CN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color w:val="000000"/>
          <w:kern w:val="0"/>
        </w:rPr>
        <w:t>5.其它方案偏离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。</w:t>
      </w:r>
    </w:p>
    <w:p w14:paraId="45C8C87D"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5941B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方案偏离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一览表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如适用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 w14:paraId="04FD3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4AEBF58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450" w:type="pct"/>
            <w:noWrap w:val="0"/>
            <w:vAlign w:val="center"/>
          </w:tcPr>
          <w:p w14:paraId="7F2DB38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 w14:paraId="2D0BD13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 w14:paraId="2B3B627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 w14:paraId="5BE005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 w14:paraId="21585D0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 w14:paraId="46A143C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对试验参与者的影响</w:t>
            </w:r>
          </w:p>
        </w:tc>
        <w:tc>
          <w:tcPr>
            <w:tcW w:w="880" w:type="pct"/>
            <w:noWrap w:val="0"/>
            <w:vAlign w:val="center"/>
          </w:tcPr>
          <w:p w14:paraId="5B8E875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 w14:paraId="67A2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0A82766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CC8360E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16F97505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26126BAA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5FF34B5D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41444370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3F326998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4B0B0913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</w:rPr>
              <w:commentReference w:id="0"/>
            </w:r>
          </w:p>
        </w:tc>
      </w:tr>
      <w:tr w14:paraId="7CD23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778E935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 w14:paraId="28541003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2C322709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2087354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3B760283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66D3C05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3FBF6199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123276D4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9AF5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546586C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F9C9C54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3909ECAD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5EF43809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5EB6A5EF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656361F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4F6DB3FE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1731C6C9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6A02A745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default" w:ascii="Times New Roman" w:hAnsi="Times New Roman" w:eastAsia="仿宋" w:cs="Times New Roman"/>
          <w:kern w:val="0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方案偏离类型：</w:t>
      </w:r>
      <w:r>
        <w:rPr>
          <w:rFonts w:hint="default" w:ascii="Times New Roman" w:hAnsi="Times New Roman" w:eastAsia="仿宋_GB2312" w:cs="Times New Roman"/>
          <w:kern w:val="0"/>
        </w:rPr>
        <w:t>1.</w:t>
      </w:r>
      <w:r>
        <w:rPr>
          <w:rFonts w:hint="default" w:ascii="Times New Roman" w:hAnsi="Times New Roman" w:eastAsia="仿宋_GB2312" w:cs="Times New Roman"/>
          <w:color w:val="000000"/>
          <w:kern w:val="0"/>
          <w:lang w:val="en-US" w:eastAsia="zh-CN"/>
        </w:rPr>
        <w:t>严重方案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偏离</w:t>
      </w:r>
      <w:r>
        <w:rPr>
          <w:rFonts w:hint="default" w:ascii="Times New Roman" w:hAnsi="Times New Roman" w:eastAsia="仿宋_GB2312" w:cs="Times New Roman"/>
          <w:kern w:val="0"/>
        </w:rPr>
        <w:t>：1.1纳入不符合纳入标准的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；1.2研究过程中，符合提前中止研究标准而没有让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退出；1.3给予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错误的治疗或不正确的剂量；1.4给予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方案禁用的合并用药；1.5任何偏离研究特定的程序或评估，从而对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的权益、安全和健康，或对研究结果产生显著影响的研究行为。2.持续方案偏离（不属于上述重大方案偏离，但反复多次的偏离方案）。3.研究者不配合监察/稽查。4.对违规事件不予以纠正。5.其它方案偏离。</w:t>
      </w:r>
    </w:p>
    <w:p w14:paraId="2292EFA8">
      <w:pPr>
        <w:spacing w:after="156" w:afterLines="50"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EEB5A93">
      <w:pPr>
        <w:widowControl/>
        <w:spacing w:line="273" w:lineRule="auto"/>
        <w:jc w:val="left"/>
        <w:rPr>
          <w:rFonts w:hint="eastAsia" w:ascii="仿宋" w:hAnsi="仿宋" w:eastAsia="仿宋" w:cs="Times New Roman"/>
          <w:color w:val="000000"/>
          <w:kern w:val="0"/>
          <w:lang w:eastAsia="zh-CN"/>
        </w:rPr>
      </w:pPr>
    </w:p>
    <w:sectPr>
      <w:headerReference r:id="rId7" w:type="default"/>
      <w:footerReference r:id="rId8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yy" w:date="2021-11-26T11:05:17Z" w:initials="">
    <w:p w14:paraId="49706AFB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9706AF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06AA017-BF68-4EAF-9B9F-904E568BF8B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00683D6-52A4-404D-930C-8FFC16E00EC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7203906-5511-4B87-83CA-4D569AD459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9F2B265D-83E5-4803-A873-8F232885C5B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AB60C0A-C6B3-45FE-98BE-C9AD2CE38D7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89EE3156-A2B7-48CF-A816-94B187511010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C42CE16B-CCAD-4D0F-B0A5-8A78973B094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7C954E20-AEE4-4FA5-AE37-C0176CD0F3F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D7E6B3DC-73A1-407F-8396-E41489FA358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3C0AC35C-3FE5-47B5-A2CA-020600F97F9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75F82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3E769D7"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1</w:t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8A92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A1C002A">
                <w:pPr>
                  <w:rPr>
                    <w:rFonts w:hint="default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FE555">
    <w:pPr>
      <w:pStyle w:val="4"/>
      <w:jc w:val="left"/>
      <w:rPr>
        <w:rFonts w:hint="eastAsia" w:ascii="仿宋_GB2312" w:hAnsi="仿宋_GB2312" w:eastAsia="仿宋_GB2312" w:cs="仿宋_GB2312"/>
        <w:strike w:val="0"/>
        <w:dstrike w:val="0"/>
        <w:lang w:val="en-US" w:eastAsia="zh-CN"/>
      </w:rPr>
    </w:pPr>
    <w:r>
      <w:rPr>
        <w:rFonts w:hint="eastAsia" w:ascii="仿宋_GB2312" w:hAnsi="仿宋_GB2312" w:eastAsia="仿宋_GB2312" w:cs="仿宋_GB2312"/>
        <w:strike w:val="0"/>
        <w:dstrike w:val="0"/>
      </w:rPr>
      <w:t>丽水市中心医院 临床试验伦理</w:t>
    </w:r>
    <w:r>
      <w:rPr>
        <w:rFonts w:hint="eastAsia" w:ascii="仿宋_GB2312" w:hAnsi="仿宋_GB2312" w:eastAsia="仿宋_GB2312" w:cs="仿宋_GB2312"/>
        <w:strike w:val="0"/>
        <w:dstrike w:val="0"/>
        <w:lang w:val="en-US" w:eastAsia="zh-CN"/>
      </w:rPr>
      <w:t>审查</w:t>
    </w:r>
    <w:r>
      <w:rPr>
        <w:rFonts w:hint="eastAsia" w:ascii="仿宋_GB2312" w:hAnsi="仿宋_GB2312" w:eastAsia="仿宋_GB2312" w:cs="仿宋_GB2312"/>
        <w:strike w:val="0"/>
        <w:dstrike w:val="0"/>
      </w:rPr>
      <w:t>委员会</w:t>
    </w:r>
    <w:r>
      <w:rPr>
        <w:rFonts w:hint="eastAsia" w:ascii="仿宋_GB2312" w:hAnsi="仿宋_GB2312" w:eastAsia="仿宋_GB2312" w:cs="仿宋_GB2312"/>
        <w:strike w:val="0"/>
        <w:dstrike w:val="0"/>
        <w:lang w:val="en-US" w:eastAsia="zh-CN"/>
      </w:rPr>
      <w:t xml:space="preserve">         </w:t>
    </w:r>
    <w:r>
      <w:rPr>
        <w:rFonts w:hint="eastAsia" w:ascii="仿宋_GB2312" w:hAnsi="仿宋_GB2312" w:eastAsia="仿宋_GB2312" w:cs="仿宋_GB2312"/>
        <w:strike w:val="0"/>
        <w:dstrike w:val="0"/>
      </w:rPr>
      <w:t xml:space="preserve">                       </w:t>
    </w:r>
    <w:r>
      <w:rPr>
        <w:rFonts w:hint="eastAsia" w:ascii="仿宋_GB2312" w:hAnsi="仿宋_GB2312" w:eastAsia="仿宋_GB2312" w:cs="仿宋_GB2312"/>
        <w:strike w:val="0"/>
        <w:dstrike w:val="0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  <w:strike w:val="0"/>
        <w:dstrike w:val="0"/>
      </w:rPr>
      <w:t xml:space="preserve">          </w:t>
    </w:r>
    <w:r>
      <w:rPr>
        <w:rFonts w:hint="default" w:ascii="Times New Roman" w:hAnsi="Times New Roman" w:eastAsia="仿宋_GB2312" w:cs="Times New Roman"/>
        <w:strike w:val="0"/>
        <w:dstrike w:val="0"/>
      </w:rPr>
      <w:t>AF/SS-06/</w:t>
    </w:r>
    <w:r>
      <w:rPr>
        <w:rFonts w:hint="default" w:ascii="Times New Roman" w:hAnsi="Times New Roman" w:eastAsia="仿宋_GB2312" w:cs="Times New Roman"/>
        <w:strike w:val="0"/>
        <w:dstrike w:val="0"/>
        <w:lang w:val="en-US" w:eastAsia="zh-CN"/>
      </w:rPr>
      <w:t>04.0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B5C5A"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57C59"/>
    <w:multiLevelType w:val="singleLevel"/>
    <w:tmpl w:val="52A57C59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y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NotTrackMoves/>
  <w:revisionView w:markup="0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8F5E30"/>
    <w:rsid w:val="00047E0D"/>
    <w:rsid w:val="00054970"/>
    <w:rsid w:val="00191623"/>
    <w:rsid w:val="002565BA"/>
    <w:rsid w:val="00263243"/>
    <w:rsid w:val="002971FA"/>
    <w:rsid w:val="002D4010"/>
    <w:rsid w:val="00425F01"/>
    <w:rsid w:val="004518C0"/>
    <w:rsid w:val="00483DBC"/>
    <w:rsid w:val="005A5015"/>
    <w:rsid w:val="005D58DA"/>
    <w:rsid w:val="006350C1"/>
    <w:rsid w:val="006C0CCB"/>
    <w:rsid w:val="006C407F"/>
    <w:rsid w:val="006C6958"/>
    <w:rsid w:val="007766B6"/>
    <w:rsid w:val="007E0BF5"/>
    <w:rsid w:val="007E2C8B"/>
    <w:rsid w:val="00850858"/>
    <w:rsid w:val="0086511A"/>
    <w:rsid w:val="0087762D"/>
    <w:rsid w:val="00880A06"/>
    <w:rsid w:val="00883851"/>
    <w:rsid w:val="008F5E30"/>
    <w:rsid w:val="00903209"/>
    <w:rsid w:val="00917130"/>
    <w:rsid w:val="00931AE3"/>
    <w:rsid w:val="00972D31"/>
    <w:rsid w:val="00990279"/>
    <w:rsid w:val="009A2827"/>
    <w:rsid w:val="009E6819"/>
    <w:rsid w:val="009E6FD8"/>
    <w:rsid w:val="009F4F52"/>
    <w:rsid w:val="009F7A99"/>
    <w:rsid w:val="00A82411"/>
    <w:rsid w:val="00A95305"/>
    <w:rsid w:val="00AA09AB"/>
    <w:rsid w:val="00AB33B9"/>
    <w:rsid w:val="00AB6860"/>
    <w:rsid w:val="00AF531C"/>
    <w:rsid w:val="00B05179"/>
    <w:rsid w:val="00B1620C"/>
    <w:rsid w:val="00B3756F"/>
    <w:rsid w:val="00C4532B"/>
    <w:rsid w:val="00CD06C5"/>
    <w:rsid w:val="00CE0764"/>
    <w:rsid w:val="00D227CE"/>
    <w:rsid w:val="00D23BCA"/>
    <w:rsid w:val="00D374F8"/>
    <w:rsid w:val="00D83E0F"/>
    <w:rsid w:val="00D87AA0"/>
    <w:rsid w:val="00DC20AC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8DF56F4"/>
    <w:rsid w:val="0C414128"/>
    <w:rsid w:val="0CCB0469"/>
    <w:rsid w:val="0D042E04"/>
    <w:rsid w:val="0D321597"/>
    <w:rsid w:val="105D5D5A"/>
    <w:rsid w:val="10A35309"/>
    <w:rsid w:val="10C022CD"/>
    <w:rsid w:val="135F527B"/>
    <w:rsid w:val="16DC36C1"/>
    <w:rsid w:val="1A2975D8"/>
    <w:rsid w:val="1A7603C9"/>
    <w:rsid w:val="1FC21640"/>
    <w:rsid w:val="24DC7115"/>
    <w:rsid w:val="2D592207"/>
    <w:rsid w:val="2FAB0D4A"/>
    <w:rsid w:val="307E2E4A"/>
    <w:rsid w:val="342F6633"/>
    <w:rsid w:val="36027DC2"/>
    <w:rsid w:val="39E70C48"/>
    <w:rsid w:val="3D765006"/>
    <w:rsid w:val="3DBC4966"/>
    <w:rsid w:val="3E9622D1"/>
    <w:rsid w:val="3F5A5F9C"/>
    <w:rsid w:val="410775D0"/>
    <w:rsid w:val="4747093D"/>
    <w:rsid w:val="49CB2919"/>
    <w:rsid w:val="4C5E04FE"/>
    <w:rsid w:val="4CBC456C"/>
    <w:rsid w:val="4F371833"/>
    <w:rsid w:val="4FFB49BC"/>
    <w:rsid w:val="553478EF"/>
    <w:rsid w:val="55745432"/>
    <w:rsid w:val="57E42FC0"/>
    <w:rsid w:val="58401DE4"/>
    <w:rsid w:val="590C61E3"/>
    <w:rsid w:val="5AEF1C52"/>
    <w:rsid w:val="66E50F32"/>
    <w:rsid w:val="6E055933"/>
    <w:rsid w:val="6EEE6797"/>
    <w:rsid w:val="6F6B5C45"/>
    <w:rsid w:val="73ED07EB"/>
    <w:rsid w:val="768F116A"/>
    <w:rsid w:val="7E52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semiHidden/>
    <w:qFormat/>
    <w:locked/>
    <w:uiPriority w:val="99"/>
    <w:rPr>
      <w:sz w:val="18"/>
    </w:rPr>
  </w:style>
  <w:style w:type="character" w:customStyle="1" w:styleId="9">
    <w:name w:val="页脚 字符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775</Words>
  <Characters>805</Characters>
  <Lines>4</Lines>
  <Paragraphs>1</Paragraphs>
  <TotalTime>1</TotalTime>
  <ScaleCrop>false</ScaleCrop>
  <LinksUpToDate>false</LinksUpToDate>
  <CharactersWithSpaces>842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yy</cp:lastModifiedBy>
  <cp:lastPrinted>2026-08-21T06:26:00Z</cp:lastPrinted>
  <dcterms:modified xsi:type="dcterms:W3CDTF">2026-09-07T03:03:57Z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1866D26547F84F4698334C899AE384F0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