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A5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暂停/终止研究报告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6"/>
        <w:gridCol w:w="80"/>
        <w:gridCol w:w="1882"/>
        <w:gridCol w:w="247"/>
        <w:gridCol w:w="1381"/>
        <w:gridCol w:w="745"/>
        <w:gridCol w:w="2141"/>
      </w:tblGrid>
      <w:tr w14:paraId="778CE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9E66C">
            <w:pPr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项目名称</w:t>
            </w:r>
          </w:p>
        </w:tc>
        <w:tc>
          <w:tcPr>
            <w:tcW w:w="379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C6B66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</w:tr>
      <w:tr w14:paraId="78025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C6D58">
            <w:pPr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申办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者</w:t>
            </w:r>
          </w:p>
        </w:tc>
        <w:tc>
          <w:tcPr>
            <w:tcW w:w="379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4214C">
            <w:pPr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</w:rPr>
            </w:pPr>
          </w:p>
        </w:tc>
      </w:tr>
      <w:tr w14:paraId="0ABD3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8C763">
            <w:pPr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研究者</w:t>
            </w:r>
          </w:p>
        </w:tc>
        <w:tc>
          <w:tcPr>
            <w:tcW w:w="11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DA8D1">
            <w:pPr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</w:rPr>
            </w:pPr>
          </w:p>
        </w:tc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3E3F9">
            <w:pPr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承担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专业组</w:t>
            </w:r>
          </w:p>
        </w:tc>
        <w:tc>
          <w:tcPr>
            <w:tcW w:w="169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6BC73">
            <w:pPr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</w:rPr>
            </w:pPr>
          </w:p>
        </w:tc>
      </w:tr>
      <w:tr w14:paraId="7A100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2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9FA14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一、一般信息</w:t>
            </w:r>
          </w:p>
          <w:p w14:paraId="56F50A41">
            <w:pPr>
              <w:autoSpaceDE w:val="0"/>
              <w:spacing w:line="360" w:lineRule="auto"/>
              <w:ind w:left="210" w:hanging="210" w:hangingChars="100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研究阶段：□尚未入组 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□已入组，正在实施研究 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□完成入组，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研究干预</w:t>
            </w:r>
          </w:p>
          <w:p w14:paraId="7C557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auto"/>
              <w:ind w:left="315" w:leftChars="50" w:hanging="210" w:hangingChars="100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尚未完成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的研究干预已经完成  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的随访已经完成  </w:t>
            </w:r>
          </w:p>
          <w:p w14:paraId="063DA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auto"/>
              <w:ind w:left="105" w:leftChars="50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□后期数据处理阶段</w:t>
            </w:r>
          </w:p>
          <w:p w14:paraId="017472DE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研究开始日期：</w:t>
            </w:r>
            <w:r>
              <w:rPr>
                <w:rFonts w:hint="eastAsia" w:ascii="仿宋_GB2312" w:hAnsi="仿宋_GB2312" w:eastAsia="仿宋_GB2312" w:cs="仿宋_GB2312"/>
                <w:color w:val="000000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（未启动填写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不适用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）</w:t>
            </w:r>
          </w:p>
          <w:p w14:paraId="2CBE4C08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研究报告提出者：□申办者     □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研究者</w:t>
            </w:r>
          </w:p>
          <w:p w14:paraId="09CE8E29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研究报告申请类型：□暂停     □终止      </w:t>
            </w:r>
          </w:p>
          <w:p w14:paraId="01AE92D4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二、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信息</w:t>
            </w:r>
          </w:p>
          <w:p w14:paraId="46E6658E">
            <w:pPr>
              <w:autoSpaceDE w:val="0"/>
              <w:spacing w:line="360" w:lineRule="auto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1.合同研究总例数：</w:t>
            </w:r>
            <w:r>
              <w:rPr>
                <w:rFonts w:hint="default" w:ascii="Times New Roman" w:hAnsi="Times New Roman" w:eastAsia="仿宋_GB2312" w:cs="Times New Roman"/>
                <w:color w:val="000000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例</w:t>
            </w:r>
          </w:p>
          <w:p w14:paraId="381E3A6C">
            <w:pPr>
              <w:autoSpaceDE w:val="0"/>
              <w:spacing w:line="360" w:lineRule="auto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2.已入组例数：</w:t>
            </w:r>
            <w:r>
              <w:rPr>
                <w:rFonts w:hint="default" w:ascii="Times New Roman" w:hAnsi="Times New Roman" w:eastAsia="仿宋_GB2312" w:cs="Times New Roman"/>
                <w:color w:val="000000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例</w:t>
            </w:r>
          </w:p>
          <w:p w14:paraId="1CA7788F">
            <w:pPr>
              <w:autoSpaceDE w:val="0"/>
              <w:spacing w:line="360" w:lineRule="auto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3.完成观察例数：</w:t>
            </w:r>
            <w:r>
              <w:rPr>
                <w:rFonts w:hint="default" w:ascii="Times New Roman" w:hAnsi="Times New Roman" w:eastAsia="仿宋_GB2312" w:cs="Times New Roman"/>
                <w:color w:val="000000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例</w:t>
            </w:r>
          </w:p>
          <w:p w14:paraId="03A35E91">
            <w:pPr>
              <w:autoSpaceDE w:val="0"/>
              <w:spacing w:line="360" w:lineRule="auto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4.提前退出例数：</w:t>
            </w:r>
            <w:r>
              <w:rPr>
                <w:rFonts w:hint="default" w:ascii="Times New Roman" w:hAnsi="Times New Roman" w:eastAsia="仿宋_GB2312" w:cs="Times New Roman"/>
                <w:color w:val="000000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例（请另附“提前退出</w:t>
            </w:r>
            <w:r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  <w:t>试验参与者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一览表”）</w:t>
            </w:r>
          </w:p>
          <w:p w14:paraId="096CF037">
            <w:pPr>
              <w:autoSpaceDE w:val="0"/>
              <w:spacing w:line="360" w:lineRule="auto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5.</w:t>
            </w: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本机构发生的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SAE/SUSAR例数：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SAE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SUSAR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例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（请另附“SAE/SUSAR一览表”）</w:t>
            </w:r>
          </w:p>
          <w:p w14:paraId="5AA8816A">
            <w:pPr>
              <w:autoSpaceDE w:val="0"/>
              <w:spacing w:line="360" w:lineRule="auto"/>
              <w:rPr>
                <w:rFonts w:hint="default" w:ascii="Times New Roman" w:hAnsi="Times New Roman" w:eastAsia="仿宋_GB2312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6.研究过程中，发生的方案偏离事件：</w:t>
            </w:r>
            <w:r>
              <w:rPr>
                <w:rFonts w:hint="default" w:ascii="Times New Roman" w:hAnsi="Times New Roman" w:eastAsia="仿宋_GB2312" w:cs="Times New Roman"/>
                <w:color w:val="000000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例次（请另附“方案偏离一览表”）</w:t>
            </w:r>
          </w:p>
          <w:p w14:paraId="75376170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三、暂停/终止研究的原因（可另附页说明）</w:t>
            </w:r>
          </w:p>
          <w:p w14:paraId="25CE326C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四、有序终止研究的程序</w:t>
            </w:r>
          </w:p>
          <w:p w14:paraId="3AD7FB43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是否要求召回已完成研究的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进行随访：□是   □否   □不适用</w:t>
            </w:r>
          </w:p>
          <w:p w14:paraId="6DCB2630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是否通知在研的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，研究已经提前终止：□是   □否（请另页说明） □不适用</w:t>
            </w:r>
          </w:p>
          <w:p w14:paraId="40062396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在研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是否提前终止研究：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 □是  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□否（请另页说明） □不适用</w:t>
            </w:r>
          </w:p>
          <w:p w14:paraId="720394F5">
            <w:pPr>
              <w:autoSpaceDE w:val="0"/>
              <w:spacing w:line="360" w:lineRule="auto"/>
              <w:ind w:left="3150" w:hanging="3150" w:hangingChars="1500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4.提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前终止研究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的后续医疗与随访安排：□转入常规医疗  □有针对性的安排随</w:t>
            </w:r>
          </w:p>
          <w:p w14:paraId="5EB396BD">
            <w:pPr>
              <w:autoSpaceDE w:val="0"/>
              <w:spacing w:line="360" w:lineRule="auto"/>
              <w:ind w:left="3150" w:hanging="3150" w:hangingChars="1500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访检测与后续治疗（请另页说明）        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  □不适用</w:t>
            </w:r>
          </w:p>
          <w:p w14:paraId="636FFB0C">
            <w:pPr>
              <w:autoSpaceDE w:val="0"/>
              <w:spacing w:line="360" w:lineRule="auto"/>
              <w:ind w:left="3150" w:hanging="3150" w:hangingChars="1500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补贴是否完全发放到位：      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□是   □否   □不适用</w:t>
            </w:r>
          </w:p>
        </w:tc>
      </w:tr>
      <w:tr w14:paraId="0B5ED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3F433">
            <w:pPr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研究者签名</w:t>
            </w:r>
          </w:p>
        </w:tc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21E2A">
            <w:pPr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68828">
            <w:pPr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</w:rPr>
              <w:t>日 期</w:t>
            </w:r>
          </w:p>
        </w:tc>
        <w:tc>
          <w:tcPr>
            <w:tcW w:w="1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03D11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</w:tr>
    </w:tbl>
    <w:p w14:paraId="5C4395AB">
      <w:pPr>
        <w:widowControl/>
        <w:spacing w:before="120"/>
        <w:ind w:firstLine="420" w:firstLineChars="200"/>
        <w:rPr>
          <w:rFonts w:hint="default" w:ascii="Times New Roman" w:hAnsi="Times New Roman" w:eastAsia="仿宋" w:cs="Times New Roman"/>
          <w:kern w:val="0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kern w:val="0"/>
        </w:rPr>
        <w:t>注：①“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提前退出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一览表</w:t>
      </w:r>
      <w:r>
        <w:rPr>
          <w:rFonts w:hint="default" w:ascii="Times New Roman" w:hAnsi="Times New Roman" w:eastAsia="仿宋_GB2312" w:cs="Times New Roman"/>
          <w:kern w:val="0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至少应包括：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编号、退出原因、退出时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健康情况。</w:t>
      </w:r>
      <w:r>
        <w:rPr>
          <w:rFonts w:hint="default" w:ascii="Times New Roman" w:hAnsi="Times New Roman" w:eastAsia="仿宋_GB2312" w:cs="Times New Roman"/>
          <w:kern w:val="0"/>
        </w:rPr>
        <w:t>②“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SAE/SUSAR一览表</w:t>
      </w:r>
      <w:r>
        <w:rPr>
          <w:rFonts w:hint="default" w:ascii="Times New Roman" w:hAnsi="Times New Roman" w:eastAsia="仿宋_GB2312" w:cs="Times New Roman"/>
          <w:kern w:val="0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至少应包括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编号、SAE/SUSAR、具体诊断、与该临床研究的相关性、预期性、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转归和是否赔偿。③</w:t>
      </w:r>
      <w:r>
        <w:rPr>
          <w:rFonts w:hint="default" w:ascii="Times New Roman" w:hAnsi="Times New Roman" w:eastAsia="仿宋_GB2312" w:cs="Times New Roman"/>
          <w:kern w:val="0"/>
        </w:rPr>
        <w:t>“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方案偏离一览表</w:t>
      </w:r>
      <w:r>
        <w:rPr>
          <w:rFonts w:hint="default" w:ascii="Times New Roman" w:hAnsi="Times New Roman" w:eastAsia="仿宋_GB2312" w:cs="Times New Roman"/>
          <w:kern w:val="0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至少应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包括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编号、发生日期、发现日期、方案偏离类型、事件描述、事件发生的原因、对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的影响、对研究结果的影响和处理措施。其中，方案偏离类型：</w:t>
      </w:r>
      <w:r>
        <w:rPr>
          <w:rFonts w:hint="default" w:ascii="Times New Roman" w:hAnsi="Times New Roman" w:eastAsia="仿宋_GB2312" w:cs="Times New Roman"/>
          <w:kern w:val="0"/>
        </w:rPr>
        <w:t>1.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严重方案偏离</w:t>
      </w:r>
      <w:r>
        <w:rPr>
          <w:rFonts w:hint="default" w:ascii="Times New Roman" w:hAnsi="Times New Roman" w:eastAsia="仿宋_GB2312" w:cs="Times New Roman"/>
          <w:kern w:val="0"/>
        </w:rPr>
        <w:t>：1.1纳入不符合纳入标准的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；1.2研究过程中，符合提前中止研究标准而没有让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退出；1.3给予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错误的治疗或不正确的剂量；1.4给予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方案禁用的合并用药；1.5任何偏离研究特定的程序或评估，从而对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的权益、安全和健康，或对研究结果产生显著影响的研究行为。2.持续方案偏离（不属于上述重大方案偏离，但反复多次的偏离方案）。3.研究者不配合监察/稽查。4.对违规事件不予以纠正。5.其它方案偏离。</w:t>
      </w:r>
    </w:p>
    <w:p w14:paraId="3F0A4EBD">
      <w:pPr>
        <w:spacing w:after="156" w:afterLines="50" w:line="360" w:lineRule="auto"/>
        <w:ind w:left="280" w:hanging="280" w:hangingChars="1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56555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提前退出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试验参与者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一览表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如适用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）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5621"/>
        <w:gridCol w:w="5622"/>
      </w:tblGrid>
      <w:tr w14:paraId="3DB66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0E5B0CA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983" w:type="pct"/>
            <w:noWrap w:val="0"/>
            <w:vAlign w:val="center"/>
          </w:tcPr>
          <w:p w14:paraId="41D416F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退出原因</w:t>
            </w:r>
          </w:p>
        </w:tc>
        <w:tc>
          <w:tcPr>
            <w:tcW w:w="1983" w:type="pct"/>
            <w:noWrap w:val="0"/>
            <w:vAlign w:val="center"/>
          </w:tcPr>
          <w:p w14:paraId="5A7A9EA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退出时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健康情况</w:t>
            </w:r>
          </w:p>
        </w:tc>
      </w:tr>
      <w:tr w14:paraId="4A628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461052F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524A52D9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667B293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8A44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77A52D3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7EBE8A6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0CA3894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45FE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71BABAE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224A93E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7D6C9FA2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1AC8B8EF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43B1E1B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0EA12CC0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EFE4A8E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0A82D06F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5907E0B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6913CDB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 w14:paraId="5487C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SAE/SUSAR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一览表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如适用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760"/>
        <w:gridCol w:w="1760"/>
        <w:gridCol w:w="1761"/>
        <w:gridCol w:w="1761"/>
        <w:gridCol w:w="1764"/>
        <w:gridCol w:w="1764"/>
        <w:gridCol w:w="1764"/>
      </w:tblGrid>
      <w:tr w14:paraId="6EB7C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647" w:type="pct"/>
            <w:noWrap w:val="0"/>
            <w:vAlign w:val="center"/>
          </w:tcPr>
          <w:p w14:paraId="0F4ED83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试验参与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者</w:t>
            </w:r>
          </w:p>
          <w:p w14:paraId="4342BEF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621" w:type="pct"/>
            <w:noWrap w:val="0"/>
            <w:vAlign w:val="center"/>
          </w:tcPr>
          <w:p w14:paraId="145B15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SAE/SUSAR</w:t>
            </w:r>
          </w:p>
        </w:tc>
        <w:tc>
          <w:tcPr>
            <w:tcW w:w="621" w:type="pct"/>
            <w:noWrap w:val="0"/>
            <w:vAlign w:val="center"/>
          </w:tcPr>
          <w:p w14:paraId="5C52DED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具体诊断</w:t>
            </w:r>
          </w:p>
        </w:tc>
        <w:tc>
          <w:tcPr>
            <w:tcW w:w="621" w:type="pct"/>
            <w:noWrap w:val="0"/>
            <w:vAlign w:val="center"/>
          </w:tcPr>
          <w:p w14:paraId="38A71A5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具体情况</w:t>
            </w:r>
          </w:p>
        </w:tc>
        <w:tc>
          <w:tcPr>
            <w:tcW w:w="621" w:type="pct"/>
            <w:noWrap w:val="0"/>
            <w:vAlign w:val="center"/>
          </w:tcPr>
          <w:p w14:paraId="014BF41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与该临床研究的相关性</w:t>
            </w:r>
          </w:p>
        </w:tc>
        <w:tc>
          <w:tcPr>
            <w:tcW w:w="622" w:type="pct"/>
            <w:noWrap w:val="0"/>
            <w:vAlign w:val="center"/>
          </w:tcPr>
          <w:p w14:paraId="1C719E3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预期性</w:t>
            </w:r>
          </w:p>
        </w:tc>
        <w:tc>
          <w:tcPr>
            <w:tcW w:w="622" w:type="pct"/>
            <w:noWrap w:val="0"/>
            <w:vAlign w:val="center"/>
          </w:tcPr>
          <w:p w14:paraId="4E9A03F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试验参与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者</w:t>
            </w:r>
          </w:p>
          <w:p w14:paraId="46C29A2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转归</w:t>
            </w:r>
          </w:p>
        </w:tc>
        <w:tc>
          <w:tcPr>
            <w:tcW w:w="622" w:type="pct"/>
            <w:noWrap w:val="0"/>
            <w:vAlign w:val="center"/>
          </w:tcPr>
          <w:p w14:paraId="1E9A483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是否赔偿</w:t>
            </w:r>
          </w:p>
        </w:tc>
      </w:tr>
      <w:tr w14:paraId="16C73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6AEFCB42">
            <w:pPr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center"/>
          </w:tcPr>
          <w:p w14:paraId="3D4A89F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2FED155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center"/>
          </w:tcPr>
          <w:p w14:paraId="44F4E266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F1CCA9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792F50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2" w:type="pct"/>
            <w:noWrap w:val="0"/>
            <w:vAlign w:val="center"/>
          </w:tcPr>
          <w:p w14:paraId="36EC6D3B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254DB4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49D4F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1F0B7FBC"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center"/>
          </w:tcPr>
          <w:p w14:paraId="7B46C78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49FAF4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347CB3D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4C0EBEE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2FE461E7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5DB5557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7ECC35A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136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759FF28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292A3FFA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A66EDC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611932F2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1CE2688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D948BB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7A329968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789C5A09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0A4DC5C5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E3A0056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8350414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8F6D123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58A56FB8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471E03A7"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 w14:paraId="4E8C0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方案偏离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一览表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如适用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 w14:paraId="6E1B6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39614EE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450" w:type="pct"/>
            <w:noWrap w:val="0"/>
            <w:vAlign w:val="center"/>
          </w:tcPr>
          <w:p w14:paraId="3725874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 w14:paraId="27622E7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 w14:paraId="178C275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 w14:paraId="49C5544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 w14:paraId="5719BE2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 w14:paraId="4858A24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对试验参与者的影响</w:t>
            </w:r>
          </w:p>
        </w:tc>
        <w:tc>
          <w:tcPr>
            <w:tcW w:w="880" w:type="pct"/>
            <w:noWrap w:val="0"/>
            <w:vAlign w:val="center"/>
          </w:tcPr>
          <w:p w14:paraId="36A2596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 w14:paraId="6EE4D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573455B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0281276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67E95F8C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2D49D068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75403E4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6243627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06F1D82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282E01DC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commentReference w:id="0"/>
            </w:r>
          </w:p>
        </w:tc>
      </w:tr>
      <w:tr w14:paraId="41A23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3D390432"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 w14:paraId="0C315355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4D24F8DE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46347DDA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6C6A1FBE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012F6DE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6B60F11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5AFF2285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8B4A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762FD16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3A3AD5F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45DD6C5A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3AB3877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15140BCA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157C99E9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37823B12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59B133C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6ED609CB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default" w:ascii="Times New Roman" w:hAnsi="Times New Roman" w:eastAsia="仿宋_GB2312" w:cs="Times New Roman"/>
          <w:kern w:val="0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方案偏离类型：</w:t>
      </w:r>
      <w:r>
        <w:rPr>
          <w:rFonts w:hint="default" w:ascii="Times New Roman" w:hAnsi="Times New Roman" w:eastAsia="仿宋_GB2312" w:cs="Times New Roman"/>
          <w:kern w:val="0"/>
        </w:rPr>
        <w:t>1.</w:t>
      </w:r>
      <w:r>
        <w:rPr>
          <w:rFonts w:hint="default" w:ascii="Times New Roman" w:hAnsi="Times New Roman" w:eastAsia="仿宋_GB2312" w:cs="Times New Roman"/>
          <w:color w:val="000000"/>
          <w:kern w:val="0"/>
          <w:lang w:val="en-US" w:eastAsia="zh-CN"/>
        </w:rPr>
        <w:t>严重方案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偏离</w:t>
      </w:r>
      <w:r>
        <w:rPr>
          <w:rFonts w:hint="default" w:ascii="Times New Roman" w:hAnsi="Times New Roman" w:eastAsia="仿宋_GB2312" w:cs="Times New Roman"/>
          <w:kern w:val="0"/>
        </w:rPr>
        <w:t>：1.1纳入不符合纳入标准的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；1.2研究过程中，符合提前中止研究标准而没有让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退出；1.3给予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错误的治疗或不正确的剂量；1.4给予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方案禁用的合并用药；1.5任何偏离研究特定的程序或评估，从而对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的权益、安全和健康，或对研究结果产生显著影响的研究行为。2.持续方案偏离（不属于上述重大方案偏离，但反复多次的偏离方案）。3.研究者不配合监察/稽查。4.对违规事件不予以纠正。5.其它方案偏离。</w:t>
      </w:r>
    </w:p>
    <w:p w14:paraId="1534C624">
      <w:pPr>
        <w:spacing w:after="156" w:afterLines="50" w:line="360" w:lineRule="auto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079A0359">
      <w:pPr>
        <w:widowControl/>
        <w:spacing w:before="120"/>
        <w:ind w:firstLine="420" w:firstLineChars="200"/>
        <w:rPr>
          <w:rFonts w:ascii="Times New Roman" w:hAnsi="Times New Roman" w:eastAsia="仿宋" w:cs="Times New Roman"/>
          <w:kern w:val="0"/>
        </w:rPr>
      </w:pPr>
    </w:p>
    <w:sectPr>
      <w:headerReference r:id="rId7" w:type="default"/>
      <w:footerReference r:id="rId8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yy" w:date="2021-11-26T11:05:17Z" w:initials="">
    <w:p w14:paraId="27787F6C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7787F6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2D18FA9-9C49-4843-924F-FBDD9D959DD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AD6584D-CB9F-48C2-85F1-71C4723E6A1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7EEC572-DB56-48C0-97C8-4D8ABBB2F0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76B040C5-36E0-42DE-BC40-FE17D098AC7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E15633E6-494C-44B2-8C2C-07D2DD388DB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EAB8652B-71C9-488D-A2B7-E4474F3FCA75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7C961C80-E573-44F5-B578-314216B075E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D4A24B66-BD53-4FD0-8EEE-E1B28028582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567D949E-BF69-42F5-A900-E64D1CC87AD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2A7A134B-CFF9-47C1-9153-D953CFAAD25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E0F58">
    <w:pPr>
      <w:pStyle w:val="3"/>
      <w:jc w:val="center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25F1B64"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2</w:t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07163">
    <w:pPr>
      <w:pStyle w:val="3"/>
    </w:pPr>
    <w:r>
      <w:rPr>
        <w:sz w:val="18"/>
      </w:rPr>
      <w:pict>
        <v:shape id="_x0000_s4099" o:spid="_x0000_s4099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510E9C1">
                <w:pPr>
                  <w:rPr>
                    <w:rFonts w:hint="default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DC41A">
    <w:pPr>
      <w:pStyle w:val="4"/>
      <w:jc w:val="left"/>
      <w:rPr>
        <w:rFonts w:hint="eastAsia" w:ascii="仿宋_GB2312" w:hAnsi="仿宋_GB2312" w:eastAsia="仿宋_GB2312" w:cs="仿宋_GB2312"/>
        <w:lang w:val="en-US" w:eastAsia="zh-CN"/>
      </w:rPr>
    </w:pPr>
    <w:r>
      <w:rPr>
        <w:rFonts w:hint="eastAsia" w:ascii="仿宋_GB2312" w:hAnsi="仿宋_GB2312" w:eastAsia="仿宋_GB2312" w:cs="仿宋_GB2312"/>
      </w:rPr>
      <w:t>丽水市中心医院 临床试验伦理</w:t>
    </w:r>
    <w:r>
      <w:rPr>
        <w:rFonts w:hint="eastAsia" w:ascii="仿宋_GB2312" w:hAnsi="仿宋_GB2312" w:eastAsia="仿宋_GB2312" w:cs="仿宋_GB2312"/>
        <w:lang w:val="en-US" w:eastAsia="zh-CN"/>
      </w:rPr>
      <w:t>审查</w:t>
    </w:r>
    <w:r>
      <w:rPr>
        <w:rFonts w:hint="eastAsia" w:ascii="仿宋_GB2312" w:hAnsi="仿宋_GB2312" w:eastAsia="仿宋_GB2312" w:cs="仿宋_GB2312"/>
      </w:rPr>
      <w:t xml:space="preserve">委员会                                      </w:t>
    </w:r>
    <w:r>
      <w:rPr>
        <w:rFonts w:hint="eastAsia" w:ascii="仿宋_GB2312" w:hAnsi="仿宋_GB2312" w:eastAsia="仿宋_GB2312" w:cs="仿宋_GB2312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</w:rPr>
      <w:t xml:space="preserve">    </w:t>
    </w:r>
    <w:r>
      <w:rPr>
        <w:rFonts w:hint="default" w:ascii="Times New Roman" w:hAnsi="Times New Roman" w:eastAsia="仿宋_GB2312" w:cs="Times New Roman"/>
      </w:rPr>
      <w:t>AF/SS-0</w:t>
    </w:r>
    <w:r>
      <w:rPr>
        <w:rFonts w:hint="default" w:ascii="Times New Roman" w:hAnsi="Times New Roman" w:eastAsia="仿宋_GB2312" w:cs="Times New Roman"/>
        <w:lang w:val="en-US" w:eastAsia="zh-CN"/>
      </w:rPr>
      <w:t>7</w:t>
    </w:r>
    <w:r>
      <w:rPr>
        <w:rFonts w:hint="default" w:ascii="Times New Roman" w:hAnsi="Times New Roman" w:eastAsia="仿宋_GB2312" w:cs="Times New Roman"/>
      </w:rPr>
      <w:t>/</w:t>
    </w:r>
    <w:r>
      <w:rPr>
        <w:rFonts w:hint="default" w:ascii="Times New Roman" w:hAnsi="Times New Roman" w:eastAsia="仿宋_GB2312" w:cs="Times New Roman"/>
        <w:lang w:val="en-US" w:eastAsia="zh-CN"/>
      </w:rPr>
      <w:t>0</w:t>
    </w:r>
    <w:r>
      <w:rPr>
        <w:rFonts w:hint="eastAsia" w:ascii="Times New Roman" w:hAnsi="Times New Roman" w:eastAsia="仿宋_GB2312" w:cs="Times New Roman"/>
        <w:lang w:val="en-US" w:eastAsia="zh-CN"/>
      </w:rPr>
      <w:t>4</w:t>
    </w:r>
    <w:r>
      <w:rPr>
        <w:rFonts w:hint="default" w:ascii="Times New Roman" w:hAnsi="Times New Roman" w:eastAsia="仿宋_GB2312" w:cs="Times New Roman"/>
        <w:lang w:val="en-US" w:eastAsia="zh-CN"/>
      </w:rPr>
      <w:t>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32529"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y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NotTrackMoves/>
  <w:revisionView w:markup="0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6D3C9A"/>
    <w:rsid w:val="00050938"/>
    <w:rsid w:val="000A1E3B"/>
    <w:rsid w:val="000A51D8"/>
    <w:rsid w:val="000B5E24"/>
    <w:rsid w:val="000C0CF3"/>
    <w:rsid w:val="000D476E"/>
    <w:rsid w:val="00100910"/>
    <w:rsid w:val="001905F7"/>
    <w:rsid w:val="00191623"/>
    <w:rsid w:val="001D2595"/>
    <w:rsid w:val="00291FB4"/>
    <w:rsid w:val="002D0487"/>
    <w:rsid w:val="00343AF6"/>
    <w:rsid w:val="003A5087"/>
    <w:rsid w:val="0040619F"/>
    <w:rsid w:val="004D7423"/>
    <w:rsid w:val="00510908"/>
    <w:rsid w:val="00571848"/>
    <w:rsid w:val="00577EA7"/>
    <w:rsid w:val="005B2030"/>
    <w:rsid w:val="006A20F0"/>
    <w:rsid w:val="006D3C9A"/>
    <w:rsid w:val="00771DC0"/>
    <w:rsid w:val="007A550A"/>
    <w:rsid w:val="007D044D"/>
    <w:rsid w:val="007D7870"/>
    <w:rsid w:val="00807E8D"/>
    <w:rsid w:val="008814BD"/>
    <w:rsid w:val="008E13CB"/>
    <w:rsid w:val="009056DC"/>
    <w:rsid w:val="009C09D0"/>
    <w:rsid w:val="009D6273"/>
    <w:rsid w:val="00A07BA5"/>
    <w:rsid w:val="00A16D67"/>
    <w:rsid w:val="00A26E96"/>
    <w:rsid w:val="00A319DC"/>
    <w:rsid w:val="00A37862"/>
    <w:rsid w:val="00AA68A7"/>
    <w:rsid w:val="00AF3C85"/>
    <w:rsid w:val="00B03142"/>
    <w:rsid w:val="00B25F7A"/>
    <w:rsid w:val="00B26AF1"/>
    <w:rsid w:val="00B46943"/>
    <w:rsid w:val="00B70F2B"/>
    <w:rsid w:val="00BA3BF2"/>
    <w:rsid w:val="00C2072E"/>
    <w:rsid w:val="00C235D5"/>
    <w:rsid w:val="00C43F5D"/>
    <w:rsid w:val="00C610A8"/>
    <w:rsid w:val="00CC6B49"/>
    <w:rsid w:val="00CD2D6E"/>
    <w:rsid w:val="00CD7451"/>
    <w:rsid w:val="00D22C71"/>
    <w:rsid w:val="00D82C28"/>
    <w:rsid w:val="00D84B99"/>
    <w:rsid w:val="00D93AAA"/>
    <w:rsid w:val="00DB524C"/>
    <w:rsid w:val="00E0374D"/>
    <w:rsid w:val="00E101B8"/>
    <w:rsid w:val="00EB1350"/>
    <w:rsid w:val="00EE6CC9"/>
    <w:rsid w:val="00F55D36"/>
    <w:rsid w:val="00FB5ACD"/>
    <w:rsid w:val="00FC2DF4"/>
    <w:rsid w:val="00FF34A7"/>
    <w:rsid w:val="024F3273"/>
    <w:rsid w:val="0E82049A"/>
    <w:rsid w:val="16503321"/>
    <w:rsid w:val="19495338"/>
    <w:rsid w:val="1CB529A7"/>
    <w:rsid w:val="1F3D0D89"/>
    <w:rsid w:val="21795107"/>
    <w:rsid w:val="25CD3340"/>
    <w:rsid w:val="266B738D"/>
    <w:rsid w:val="282C7C34"/>
    <w:rsid w:val="283D76A3"/>
    <w:rsid w:val="2E3423A5"/>
    <w:rsid w:val="2ED14C03"/>
    <w:rsid w:val="301E009F"/>
    <w:rsid w:val="31591DFA"/>
    <w:rsid w:val="31862397"/>
    <w:rsid w:val="32B50CA8"/>
    <w:rsid w:val="343F76C5"/>
    <w:rsid w:val="34E73EBF"/>
    <w:rsid w:val="382503D9"/>
    <w:rsid w:val="39E822A4"/>
    <w:rsid w:val="3A2B0CF2"/>
    <w:rsid w:val="3C7D403E"/>
    <w:rsid w:val="3D2E5793"/>
    <w:rsid w:val="3ED454B4"/>
    <w:rsid w:val="3F302D29"/>
    <w:rsid w:val="3F4A760E"/>
    <w:rsid w:val="41B4613F"/>
    <w:rsid w:val="41D95860"/>
    <w:rsid w:val="43760997"/>
    <w:rsid w:val="468606F9"/>
    <w:rsid w:val="46FC2AE9"/>
    <w:rsid w:val="47D7594B"/>
    <w:rsid w:val="4A86340E"/>
    <w:rsid w:val="4EC8603E"/>
    <w:rsid w:val="4F4A29EC"/>
    <w:rsid w:val="55E268DF"/>
    <w:rsid w:val="57F6251F"/>
    <w:rsid w:val="602A189C"/>
    <w:rsid w:val="6112019F"/>
    <w:rsid w:val="6970647E"/>
    <w:rsid w:val="6CC95E70"/>
    <w:rsid w:val="6D6F09B1"/>
    <w:rsid w:val="6E005A16"/>
    <w:rsid w:val="702C3EBB"/>
    <w:rsid w:val="72693375"/>
    <w:rsid w:val="73064978"/>
    <w:rsid w:val="7309711B"/>
    <w:rsid w:val="734B1F8A"/>
    <w:rsid w:val="7AED1027"/>
    <w:rsid w:val="7C7924B3"/>
    <w:rsid w:val="7E175BC8"/>
    <w:rsid w:val="7E7D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link w:val="4"/>
    <w:semiHidden/>
    <w:qFormat/>
    <w:locked/>
    <w:uiPriority w:val="99"/>
    <w:rPr>
      <w:sz w:val="18"/>
    </w:rPr>
  </w:style>
  <w:style w:type="character" w:customStyle="1" w:styleId="9">
    <w:name w:val="页脚 Char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  <customShpInfo spid="_x0000_s4099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87006A-34BF-4D05-91FC-A19F2DC665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1290</Words>
  <Characters>1392</Characters>
  <Lines>8</Lines>
  <Paragraphs>2</Paragraphs>
  <TotalTime>6</TotalTime>
  <ScaleCrop>false</ScaleCrop>
  <LinksUpToDate>false</LinksUpToDate>
  <CharactersWithSpaces>1534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2015-03-20T15:13:00Z</dcterms:created>
  <dc:creator>User</dc:creator>
  <cp:lastModifiedBy>yy</cp:lastModifiedBy>
  <cp:lastPrinted>2026-08-21T08:26:00Z</cp:lastPrinted>
  <dcterms:modified xsi:type="dcterms:W3CDTF">2026-09-07T03:04:06Z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B08F44889E6A45F1B0F051AC7EEC667B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