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F8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结题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报告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370"/>
        <w:gridCol w:w="1882"/>
        <w:gridCol w:w="247"/>
        <w:gridCol w:w="1318"/>
        <w:gridCol w:w="808"/>
        <w:gridCol w:w="2139"/>
      </w:tblGrid>
      <w:tr w14:paraId="1DA8D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2" w:type="pct"/>
            <w:vAlign w:val="center"/>
          </w:tcPr>
          <w:p w14:paraId="54E7BBB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项目名称</w:t>
            </w:r>
          </w:p>
        </w:tc>
        <w:tc>
          <w:tcPr>
            <w:tcW w:w="3967" w:type="pct"/>
            <w:gridSpan w:val="6"/>
            <w:vAlign w:val="center"/>
          </w:tcPr>
          <w:p w14:paraId="4718A6DC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  <w:tr w14:paraId="6746F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2" w:type="pct"/>
            <w:vAlign w:val="center"/>
          </w:tcPr>
          <w:p w14:paraId="042F2A5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申办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者</w:t>
            </w:r>
          </w:p>
        </w:tc>
        <w:tc>
          <w:tcPr>
            <w:tcW w:w="3967" w:type="pct"/>
            <w:gridSpan w:val="6"/>
            <w:vAlign w:val="center"/>
          </w:tcPr>
          <w:p w14:paraId="01B156FF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  <w:tr w14:paraId="7A46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2" w:type="pct"/>
            <w:vAlign w:val="center"/>
          </w:tcPr>
          <w:p w14:paraId="4D6AE9F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研究者</w:t>
            </w:r>
          </w:p>
        </w:tc>
        <w:tc>
          <w:tcPr>
            <w:tcW w:w="1321" w:type="pct"/>
            <w:gridSpan w:val="2"/>
            <w:vAlign w:val="center"/>
          </w:tcPr>
          <w:p w14:paraId="27D5458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</w:pPr>
          </w:p>
        </w:tc>
        <w:tc>
          <w:tcPr>
            <w:tcW w:w="918" w:type="pct"/>
            <w:gridSpan w:val="2"/>
            <w:vAlign w:val="center"/>
          </w:tcPr>
          <w:p w14:paraId="21E4131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专业组</w:t>
            </w:r>
          </w:p>
        </w:tc>
        <w:tc>
          <w:tcPr>
            <w:tcW w:w="1727" w:type="pct"/>
            <w:gridSpan w:val="2"/>
            <w:vAlign w:val="center"/>
          </w:tcPr>
          <w:p w14:paraId="00ED14A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</w:pPr>
          </w:p>
        </w:tc>
      </w:tr>
      <w:tr w14:paraId="1E14C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000" w:type="pct"/>
            <w:gridSpan w:val="7"/>
            <w:vAlign w:val="center"/>
          </w:tcPr>
          <w:p w14:paraId="19C763D6">
            <w:pPr>
              <w:numPr>
                <w:ilvl w:val="0"/>
                <w:numId w:val="1"/>
              </w:numPr>
              <w:spacing w:line="360" w:lineRule="auto"/>
              <w:ind w:left="450" w:hanging="450"/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信息</w:t>
            </w:r>
          </w:p>
          <w:p w14:paraId="057D1157">
            <w:pPr>
              <w:tabs>
                <w:tab w:val="left" w:pos="425"/>
              </w:tabs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合同研究总例数：</w:t>
            </w:r>
            <w:r>
              <w:rPr>
                <w:rFonts w:hint="eastAsia" w:ascii="仿宋_GB2312" w:hAnsi="仿宋_GB2312" w:eastAsia="仿宋_GB2312" w:cs="仿宋_GB2312"/>
                <w:color w:val="000000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例</w:t>
            </w:r>
          </w:p>
          <w:p w14:paraId="2CC6AD0C">
            <w:pPr>
              <w:tabs>
                <w:tab w:val="left" w:pos="425"/>
              </w:tabs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已入组例数：</w:t>
            </w:r>
            <w:r>
              <w:rPr>
                <w:rFonts w:hint="eastAsia" w:ascii="仿宋_GB2312" w:hAnsi="仿宋_GB2312" w:eastAsia="仿宋_GB2312" w:cs="仿宋_GB2312"/>
                <w:color w:val="000000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例</w:t>
            </w:r>
          </w:p>
          <w:p w14:paraId="6CC0B9A6">
            <w:pPr>
              <w:tabs>
                <w:tab w:val="left" w:pos="425"/>
              </w:tabs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完成观察例数：</w:t>
            </w:r>
            <w:r>
              <w:rPr>
                <w:rFonts w:hint="eastAsia" w:ascii="仿宋_GB2312" w:hAnsi="仿宋_GB2312" w:eastAsia="仿宋_GB2312" w:cs="仿宋_GB2312"/>
                <w:color w:val="000000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例</w:t>
            </w:r>
          </w:p>
          <w:p w14:paraId="5EA54944">
            <w:pPr>
              <w:tabs>
                <w:tab w:val="left" w:pos="425"/>
              </w:tabs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提前退出例数：</w:t>
            </w:r>
            <w:r>
              <w:rPr>
                <w:rFonts w:hint="eastAsia" w:ascii="仿宋_GB2312" w:hAnsi="仿宋_GB2312" w:eastAsia="仿宋_GB2312" w:cs="仿宋_GB2312"/>
                <w:color w:val="000000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例（请另附“提前退出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一览表”）</w:t>
            </w:r>
          </w:p>
          <w:p w14:paraId="1577B87E">
            <w:pPr>
              <w:tabs>
                <w:tab w:val="left" w:pos="425"/>
              </w:tabs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5.</w:t>
            </w: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本机构发生的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SAE/SUSAR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例数：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SAE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SUSAR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（请另附“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SAE/SUSAR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一览表”）</w:t>
            </w:r>
          </w:p>
          <w:p w14:paraId="7EBC93D8">
            <w:pPr>
              <w:tabs>
                <w:tab w:val="left" w:pos="425"/>
              </w:tabs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研究过程中，发生的方案偏离事件：</w:t>
            </w:r>
            <w:r>
              <w:rPr>
                <w:rFonts w:hint="eastAsia" w:ascii="仿宋_GB2312" w:hAnsi="仿宋_GB2312" w:eastAsia="仿宋_GB2312" w:cs="仿宋_GB2312"/>
                <w:color w:val="000000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例次（请另附“方案偏离一览表”）</w:t>
            </w:r>
          </w:p>
          <w:p w14:paraId="76E9CC2B">
            <w:pPr>
              <w:numPr>
                <w:ilvl w:val="0"/>
                <w:numId w:val="2"/>
              </w:numPr>
              <w:tabs>
                <w:tab w:val="left" w:pos="425"/>
              </w:tabs>
              <w:spacing w:line="360" w:lineRule="auto"/>
              <w:ind w:left="420" w:hanging="420"/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研究情况</w:t>
            </w:r>
          </w:p>
          <w:p w14:paraId="62FB8A4F">
            <w:pPr>
              <w:spacing w:line="360" w:lineRule="auto"/>
              <w:rPr>
                <w:rFonts w:hint="default" w:ascii="仿宋_GB2312" w:hAnsi="仿宋_GB2312" w:eastAsia="仿宋_GB2312" w:cs="仿宋_GB2312"/>
                <w:color w:val="000000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1.第1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例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入组日期：</w:t>
            </w:r>
            <w:r>
              <w:rPr>
                <w:rFonts w:hint="eastAsia" w:ascii="仿宋_GB2312" w:hAnsi="仿宋_GB2312" w:eastAsia="仿宋_GB2312" w:cs="仿宋_GB2312"/>
                <w:color w:val="000000"/>
                <w:u w:val="single"/>
                <w:lang w:val="en-US" w:eastAsia="zh-CN"/>
              </w:rPr>
              <w:t xml:space="preserve">              </w:t>
            </w:r>
          </w:p>
          <w:p w14:paraId="2B6886C9">
            <w:pPr>
              <w:spacing w:line="360" w:lineRule="auto"/>
              <w:rPr>
                <w:rFonts w:hint="default" w:ascii="仿宋_GB2312" w:hAnsi="仿宋_GB2312" w:eastAsia="仿宋_GB2312" w:cs="仿宋_GB2312"/>
                <w:color w:val="000000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2.最后1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例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出组日期：</w:t>
            </w:r>
            <w:r>
              <w:rPr>
                <w:rFonts w:hint="eastAsia" w:ascii="仿宋_GB2312" w:hAnsi="仿宋_GB2312" w:eastAsia="仿宋_GB2312" w:cs="仿宋_GB2312"/>
                <w:color w:val="000000"/>
                <w:u w:val="single"/>
                <w:lang w:val="en-US" w:eastAsia="zh-CN"/>
              </w:rPr>
              <w:t xml:space="preserve">               </w:t>
            </w:r>
          </w:p>
          <w:p w14:paraId="7F2AA400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本机构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是否发生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SAE/SUSAR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□是    □否</w:t>
            </w:r>
          </w:p>
          <w:p w14:paraId="7B42E1C9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研究中是否存在影响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权益的问题：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□否  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是（请另页说明）</w:t>
            </w:r>
          </w:p>
          <w:p w14:paraId="400EB657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5.</w:t>
            </w:r>
            <w:r>
              <w:rPr>
                <w:rFonts w:hint="eastAsia" w:ascii="Times New Roman" w:hAnsi="Times New Roman" w:eastAsia="仿宋_GB2312" w:cs="Times New Roman"/>
                <w:color w:val="000000"/>
                <w:lang w:val="en-US" w:eastAsia="zh-CN"/>
              </w:rPr>
              <w:t>本机构发生的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SAE/SUSAR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或方案规定必须报告的重要医学事件已经及时报告：</w:t>
            </w:r>
          </w:p>
          <w:p w14:paraId="090F5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57" w:firstLine="5880" w:firstLineChars="2800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□是  □否  □不适用</w:t>
            </w:r>
          </w:p>
          <w:p w14:paraId="27BEF2D3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方案偏离事件已经及时报告：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是  □否  □不适用</w:t>
            </w:r>
          </w:p>
          <w:p w14:paraId="737CF25D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补贴是否完全发放到位：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是  □否  □不适用</w:t>
            </w:r>
          </w:p>
        </w:tc>
      </w:tr>
      <w:tr w14:paraId="5EF71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49" w:type="pct"/>
            <w:gridSpan w:val="2"/>
            <w:vAlign w:val="center"/>
          </w:tcPr>
          <w:p w14:paraId="026A9C8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研究者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  <w:t>签名</w:t>
            </w:r>
          </w:p>
        </w:tc>
        <w:tc>
          <w:tcPr>
            <w:tcW w:w="1249" w:type="pct"/>
            <w:gridSpan w:val="2"/>
            <w:vAlign w:val="center"/>
          </w:tcPr>
          <w:p w14:paraId="76CE21B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  <w:tc>
          <w:tcPr>
            <w:tcW w:w="1247" w:type="pct"/>
            <w:gridSpan w:val="2"/>
            <w:vAlign w:val="center"/>
          </w:tcPr>
          <w:p w14:paraId="6CB0C2B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</w:rPr>
              <w:t>日期</w:t>
            </w:r>
          </w:p>
        </w:tc>
        <w:tc>
          <w:tcPr>
            <w:tcW w:w="1253" w:type="pct"/>
            <w:vAlign w:val="center"/>
          </w:tcPr>
          <w:p w14:paraId="6B1DD60F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</w:tc>
      </w:tr>
    </w:tbl>
    <w:p w14:paraId="71EFB210">
      <w:pPr>
        <w:widowControl/>
        <w:spacing w:before="120"/>
        <w:ind w:firstLine="420" w:firstLineChars="200"/>
        <w:rPr>
          <w:rFonts w:hint="default" w:ascii="Times New Roman" w:hAnsi="Times New Roman" w:eastAsia="仿宋_GB2312" w:cs="Times New Roman"/>
          <w:kern w:val="0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kern w:val="0"/>
        </w:rPr>
        <w:t>注：①</w:t>
      </w:r>
      <w:r>
        <w:rPr>
          <w:rFonts w:hint="default" w:ascii="Times New Roman" w:hAnsi="Times New Roman" w:eastAsia="仿宋_GB2312" w:cs="Times New Roman"/>
          <w:kern w:val="0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提前退出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一览表</w:t>
      </w:r>
      <w:r>
        <w:rPr>
          <w:rFonts w:hint="default" w:ascii="Times New Roman" w:hAnsi="Times New Roman" w:eastAsia="仿宋_GB2312" w:cs="Times New Roman"/>
          <w:kern w:val="0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至少应包括：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编号、退出原因、退出时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健康情况。</w:t>
      </w:r>
      <w:r>
        <w:rPr>
          <w:rFonts w:hint="default" w:ascii="Times New Roman" w:hAnsi="Times New Roman" w:eastAsia="仿宋_GB2312" w:cs="Times New Roman"/>
          <w:kern w:val="0"/>
        </w:rPr>
        <w:t>②“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SAE/SUSAR一览表</w:t>
      </w:r>
      <w:r>
        <w:rPr>
          <w:rFonts w:hint="default" w:ascii="Times New Roman" w:hAnsi="Times New Roman" w:eastAsia="仿宋_GB2312" w:cs="Times New Roman"/>
          <w:kern w:val="0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至少应包括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编号、SAE/SUSAR、具体诊断、与该临床研究的相关性、预期性、</w:t>
      </w:r>
      <w:r>
        <w:rPr>
          <w:rFonts w:hint="default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转归和是否赔偿。③</w:t>
      </w:r>
      <w:r>
        <w:rPr>
          <w:rFonts w:hint="default" w:ascii="Times New Roman" w:hAnsi="Times New Roman" w:eastAsia="仿宋_GB2312" w:cs="Times New Roman"/>
          <w:kern w:val="0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方案偏离一览表</w:t>
      </w:r>
      <w:r>
        <w:rPr>
          <w:rFonts w:hint="default" w:ascii="Times New Roman" w:hAnsi="Times New Roman" w:eastAsia="仿宋_GB2312" w:cs="Times New Roman"/>
          <w:kern w:val="0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至少应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包括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编号、发生日期、发现日期、方案偏离类型、事件描述、事件发生的原因、对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的影响、对研究结果的影响和处理措施。其中，方案偏离类型：</w:t>
      </w:r>
      <w:r>
        <w:rPr>
          <w:rFonts w:hint="default" w:ascii="Times New Roman" w:hAnsi="Times New Roman" w:eastAsia="仿宋_GB2312" w:cs="Times New Roman"/>
          <w:kern w:val="0"/>
        </w:rPr>
        <w:t>1.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严重方案偏离</w:t>
      </w:r>
      <w:r>
        <w:rPr>
          <w:rFonts w:hint="default" w:ascii="Times New Roman" w:hAnsi="Times New Roman" w:eastAsia="仿宋_GB2312" w:cs="Times New Roman"/>
          <w:kern w:val="0"/>
        </w:rPr>
        <w:t>：1.1纳入不符合纳入标准的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；1.2研究过程中，符合提前中止研究标准而没有让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退出；1.3给予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错误的治疗或不正确的剂量；1.4给予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方案禁用的合并用药；1.5任何偏离研究特定的程序或评估，从而对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的权益、安全和健康，或对研究结果产生显著影响的研究行为。2.持续方案偏离（不属于上</w:t>
      </w:r>
    </w:p>
    <w:p w14:paraId="3ECF45AB">
      <w:pPr>
        <w:widowControl/>
        <w:spacing w:before="120"/>
        <w:ind w:firstLine="420" w:firstLineChars="200"/>
        <w:rPr>
          <w:rFonts w:hint="default" w:ascii="Times New Roman" w:hAnsi="Times New Roman" w:eastAsia="仿宋" w:cs="Times New Roman"/>
          <w:kern w:val="0"/>
        </w:rPr>
        <w:sectPr>
          <w:footerReference r:id="rId7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kern w:val="0"/>
        </w:rPr>
        <w:t>述重大方案偏离，但反复多次的偏离方案）。3.研究者不配合监察/稽查。4.对违规事件不予以纠正。5.其它方案偏离。</w:t>
      </w:r>
    </w:p>
    <w:p w14:paraId="67EBC30C">
      <w:pPr>
        <w:spacing w:after="156" w:afterLines="50" w:line="360" w:lineRule="auto"/>
        <w:ind w:left="280" w:hanging="280" w:hangingChars="1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73878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提前退出试验参与者一览表（如适用）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5621"/>
        <w:gridCol w:w="5622"/>
      </w:tblGrid>
      <w:tr w14:paraId="06F12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34055F5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983" w:type="pct"/>
            <w:noWrap w:val="0"/>
            <w:vAlign w:val="center"/>
          </w:tcPr>
          <w:p w14:paraId="7AED446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退出原因</w:t>
            </w:r>
          </w:p>
        </w:tc>
        <w:tc>
          <w:tcPr>
            <w:tcW w:w="1983" w:type="pct"/>
            <w:noWrap w:val="0"/>
            <w:vAlign w:val="center"/>
          </w:tcPr>
          <w:p w14:paraId="139D63C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退出时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健康情况</w:t>
            </w:r>
          </w:p>
        </w:tc>
      </w:tr>
      <w:tr w14:paraId="5C09B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7F8AA3B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073FBCEC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4862971D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4B14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4240514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6B83715C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5BE64074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8C56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57FD7B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60C663F4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53166F76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6053E3A2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42251B25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BED02D5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0305B5C1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8E81E32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05C15813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6AECA863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 w14:paraId="2AD21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SAE/SUSAR一览表（如适用）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760"/>
        <w:gridCol w:w="1760"/>
        <w:gridCol w:w="1761"/>
        <w:gridCol w:w="1761"/>
        <w:gridCol w:w="1764"/>
        <w:gridCol w:w="1764"/>
        <w:gridCol w:w="1764"/>
      </w:tblGrid>
      <w:tr w14:paraId="6EB7C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647" w:type="pct"/>
            <w:noWrap w:val="0"/>
            <w:vAlign w:val="center"/>
          </w:tcPr>
          <w:p w14:paraId="0F4ED83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试验参与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者</w:t>
            </w:r>
          </w:p>
          <w:p w14:paraId="4342BEF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621" w:type="pct"/>
            <w:noWrap w:val="0"/>
            <w:vAlign w:val="center"/>
          </w:tcPr>
          <w:p w14:paraId="145B15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SAE/SUSAR</w:t>
            </w:r>
          </w:p>
        </w:tc>
        <w:tc>
          <w:tcPr>
            <w:tcW w:w="621" w:type="pct"/>
            <w:noWrap w:val="0"/>
            <w:vAlign w:val="center"/>
          </w:tcPr>
          <w:p w14:paraId="5C52DED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具体诊断</w:t>
            </w:r>
          </w:p>
        </w:tc>
        <w:tc>
          <w:tcPr>
            <w:tcW w:w="621" w:type="pct"/>
            <w:noWrap w:val="0"/>
            <w:vAlign w:val="center"/>
          </w:tcPr>
          <w:p w14:paraId="38A71A5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具体情况</w:t>
            </w:r>
          </w:p>
        </w:tc>
        <w:tc>
          <w:tcPr>
            <w:tcW w:w="621" w:type="pct"/>
            <w:noWrap w:val="0"/>
            <w:vAlign w:val="center"/>
          </w:tcPr>
          <w:p w14:paraId="014BF41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与该临床研究的相关性</w:t>
            </w:r>
          </w:p>
        </w:tc>
        <w:tc>
          <w:tcPr>
            <w:tcW w:w="622" w:type="pct"/>
            <w:noWrap w:val="0"/>
            <w:vAlign w:val="center"/>
          </w:tcPr>
          <w:p w14:paraId="1C719E3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预期性</w:t>
            </w:r>
          </w:p>
        </w:tc>
        <w:tc>
          <w:tcPr>
            <w:tcW w:w="622" w:type="pct"/>
            <w:noWrap w:val="0"/>
            <w:vAlign w:val="center"/>
          </w:tcPr>
          <w:p w14:paraId="4E9A03F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试验参与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者</w:t>
            </w:r>
          </w:p>
          <w:p w14:paraId="46C29A2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转归</w:t>
            </w:r>
          </w:p>
        </w:tc>
        <w:tc>
          <w:tcPr>
            <w:tcW w:w="622" w:type="pct"/>
            <w:noWrap w:val="0"/>
            <w:vAlign w:val="center"/>
          </w:tcPr>
          <w:p w14:paraId="1E9A483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是否赔偿</w:t>
            </w:r>
          </w:p>
        </w:tc>
      </w:tr>
      <w:tr w14:paraId="16C73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6AEFCB42">
            <w:pPr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center"/>
          </w:tcPr>
          <w:p w14:paraId="3D4A89F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2FED155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4F4E266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F1CCA9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792F50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2" w:type="pct"/>
            <w:noWrap w:val="0"/>
            <w:vAlign w:val="center"/>
          </w:tcPr>
          <w:p w14:paraId="36EC6D3B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254DB4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49D4F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1F0B7FBC"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center"/>
          </w:tcPr>
          <w:p w14:paraId="7B46C78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49FAF4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347CB3D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C0EBEE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2FE461E7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5DB5557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7ECC35A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136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759FF28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292A3FFA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A66EDC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611932F2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1CE2688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D948BB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7A329968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789C5A0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4A4640CA">
      <w:pPr>
        <w:spacing w:after="156" w:afterLines="50" w:line="360" w:lineRule="auto"/>
        <w:ind w:left="280" w:hanging="280" w:hangingChars="1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2F91F3E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C72EB65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597B352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CC7D1E9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8163010"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 w14:paraId="37811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方案偏离一览表（如适用）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 w14:paraId="7FAEB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4CC1EB5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450" w:type="pct"/>
            <w:noWrap w:val="0"/>
            <w:vAlign w:val="center"/>
          </w:tcPr>
          <w:p w14:paraId="706903A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 w14:paraId="37BEB90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 w14:paraId="3237CBB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 w14:paraId="6FF762D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 w14:paraId="6A7917F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 w14:paraId="114683C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对试验参与者的影响</w:t>
            </w:r>
          </w:p>
        </w:tc>
        <w:tc>
          <w:tcPr>
            <w:tcW w:w="880" w:type="pct"/>
            <w:noWrap w:val="0"/>
            <w:vAlign w:val="center"/>
          </w:tcPr>
          <w:p w14:paraId="4510715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 w14:paraId="149C3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382E8E6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391D682D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1013122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397E36E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0BC40A2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01B31F2B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BEE2D32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242349C3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</w:rPr>
              <w:commentReference w:id="0"/>
            </w:r>
          </w:p>
        </w:tc>
      </w:tr>
      <w:tr w14:paraId="65462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786C415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 w14:paraId="5EE0D366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717B0EB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3267ABC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186AA97C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5C4211F7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2B6CE93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452CA824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2B53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3DC989C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9EBEB09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55135EEA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5364C67A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47A51FEC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6FC1D30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F017931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5B870BC3"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5EEABA3E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default" w:ascii="Times New Roman" w:hAnsi="Times New Roman" w:eastAsia="仿宋_GB2312" w:cs="Times New Roman"/>
          <w:kern w:val="0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方案偏离类型：</w:t>
      </w:r>
      <w:r>
        <w:rPr>
          <w:rFonts w:hint="default" w:ascii="Times New Roman" w:hAnsi="Times New Roman" w:eastAsia="仿宋_GB2312" w:cs="Times New Roman"/>
          <w:kern w:val="0"/>
        </w:rPr>
        <w:t>1.</w:t>
      </w:r>
      <w:r>
        <w:rPr>
          <w:rFonts w:hint="default" w:ascii="Times New Roman" w:hAnsi="Times New Roman" w:eastAsia="仿宋_GB2312" w:cs="Times New Roman"/>
          <w:color w:val="000000"/>
          <w:kern w:val="0"/>
          <w:lang w:val="en-US" w:eastAsia="zh-CN"/>
        </w:rPr>
        <w:t>严重方案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偏离</w:t>
      </w:r>
      <w:r>
        <w:rPr>
          <w:rFonts w:hint="default" w:ascii="Times New Roman" w:hAnsi="Times New Roman" w:eastAsia="仿宋_GB2312" w:cs="Times New Roman"/>
          <w:kern w:val="0"/>
        </w:rPr>
        <w:t>：1.1纳入不符合纳入标准的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；1.2研究过程中，符合提前中止研究标准而没有让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退出；1.3给予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错误的治疗或不正确的剂量；1.4给予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方案禁用的合并用药；1.5任何偏离研究特定的程序或评估，从而对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的权益、安全和健康，或对研究结果产生显著影响的研究行为。2.持续方案偏离（不属于上述重大方案偏离，但反复多次的偏离方案）。3.研究者不配合监察/稽查。4.对违规事件不予以纠正。5.其它方案偏离。</w:t>
      </w:r>
    </w:p>
    <w:p w14:paraId="5547CB1C"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</w:pPr>
    </w:p>
    <w:sectPr>
      <w:headerReference r:id="rId8" w:type="default"/>
      <w:footerReference r:id="rId9" w:type="default"/>
      <w:pgSz w:w="16838" w:h="11906" w:orient="landscape"/>
      <w:pgMar w:top="1800" w:right="1440" w:bottom="180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yy" w:date="2021-11-26T11:05:17Z" w:initials="">
    <w:p w14:paraId="30E12E16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0E12E1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54301D9-DD26-4ECA-BA9B-A49D18D52C9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8E51543-9BB5-4034-9D23-06CDA9931A7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95A9EFA-205C-4F49-8932-9F83B35FF5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8BA76D9-BF7A-4847-9EB8-44215317866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F983867-34EA-47B9-91C1-8B6C00AAEAE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1CE42708-20DE-4C2D-8EDC-3D38391C6CFB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2BAC98BC-6591-45BE-8E0D-62E84833A20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F5E85FCB-90B7-4703-A9F8-F4F0BDCFF99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CF19A3F2-DD51-420C-8160-BE441D5D809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75CDE65C-2C08-44F9-84E3-28C5226DE31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D0700">
    <w:pPr>
      <w:pStyle w:val="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8D786">
    <w:pPr>
      <w:pStyle w:val="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E89AE">
    <w:pPr>
      <w:pStyle w:val="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34814">
    <w:pPr>
      <w:pStyle w:val="4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</w:rPr>
      <w:t>丽水市中心医院 临床试验伦理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 xml:space="preserve">委员会                       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    </w:t>
    </w:r>
    <w:r>
      <w:rPr>
        <w:rFonts w:hint="default" w:ascii="Times New Roman" w:hAnsi="Times New Roman" w:eastAsia="仿宋_GB2312" w:cs="Times New Roman"/>
      </w:rPr>
      <w:t>AF/SS-08/</w:t>
    </w:r>
    <w:r>
      <w:rPr>
        <w:rFonts w:hint="default" w:ascii="Times New Roman" w:hAnsi="Times New Roman" w:eastAsia="仿宋_GB2312" w:cs="Times New Roman"/>
        <w:lang w:val="en-US" w:eastAsia="zh-CN"/>
      </w:rPr>
      <w:t>04.0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E44D9"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F83F13"/>
    <w:multiLevelType w:val="singleLevel"/>
    <w:tmpl w:val="52F83F13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2F83F6C"/>
    <w:multiLevelType w:val="singleLevel"/>
    <w:tmpl w:val="52F83F6C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y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NotTrackMoves/>
  <w:revisionView w:markup="0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8F5E30"/>
    <w:rsid w:val="00054970"/>
    <w:rsid w:val="00063597"/>
    <w:rsid w:val="000833CF"/>
    <w:rsid w:val="001647FE"/>
    <w:rsid w:val="00191623"/>
    <w:rsid w:val="001C2DEF"/>
    <w:rsid w:val="00217DD5"/>
    <w:rsid w:val="002565BA"/>
    <w:rsid w:val="00257E4B"/>
    <w:rsid w:val="00263243"/>
    <w:rsid w:val="00264761"/>
    <w:rsid w:val="002971FA"/>
    <w:rsid w:val="002D4010"/>
    <w:rsid w:val="0038280C"/>
    <w:rsid w:val="00425F01"/>
    <w:rsid w:val="004518C0"/>
    <w:rsid w:val="0045590D"/>
    <w:rsid w:val="00483DBC"/>
    <w:rsid w:val="004F07FD"/>
    <w:rsid w:val="00536B6B"/>
    <w:rsid w:val="00594E32"/>
    <w:rsid w:val="005A5015"/>
    <w:rsid w:val="00600BE5"/>
    <w:rsid w:val="006C0CCB"/>
    <w:rsid w:val="006C407F"/>
    <w:rsid w:val="006C6958"/>
    <w:rsid w:val="00717F6D"/>
    <w:rsid w:val="0075126C"/>
    <w:rsid w:val="007738C6"/>
    <w:rsid w:val="007766B6"/>
    <w:rsid w:val="007C0AF7"/>
    <w:rsid w:val="007E0BF5"/>
    <w:rsid w:val="007E2C8B"/>
    <w:rsid w:val="0081304A"/>
    <w:rsid w:val="00850858"/>
    <w:rsid w:val="00883851"/>
    <w:rsid w:val="008C1E19"/>
    <w:rsid w:val="008F5E30"/>
    <w:rsid w:val="00917130"/>
    <w:rsid w:val="00931AE3"/>
    <w:rsid w:val="00990279"/>
    <w:rsid w:val="009A2827"/>
    <w:rsid w:val="009B6FC3"/>
    <w:rsid w:val="009E15B1"/>
    <w:rsid w:val="009E4B52"/>
    <w:rsid w:val="009E6819"/>
    <w:rsid w:val="009E6FD8"/>
    <w:rsid w:val="009F4F52"/>
    <w:rsid w:val="009F7A99"/>
    <w:rsid w:val="00A66671"/>
    <w:rsid w:val="00A82411"/>
    <w:rsid w:val="00AA09AB"/>
    <w:rsid w:val="00AB33B9"/>
    <w:rsid w:val="00AB6860"/>
    <w:rsid w:val="00B05179"/>
    <w:rsid w:val="00B1620C"/>
    <w:rsid w:val="00B3756F"/>
    <w:rsid w:val="00BA20AD"/>
    <w:rsid w:val="00BD2AD8"/>
    <w:rsid w:val="00C2694F"/>
    <w:rsid w:val="00C27103"/>
    <w:rsid w:val="00C32D5E"/>
    <w:rsid w:val="00C4532B"/>
    <w:rsid w:val="00C91F67"/>
    <w:rsid w:val="00CE0764"/>
    <w:rsid w:val="00CF5116"/>
    <w:rsid w:val="00D227CE"/>
    <w:rsid w:val="00D23BCA"/>
    <w:rsid w:val="00D374F8"/>
    <w:rsid w:val="00D83E0F"/>
    <w:rsid w:val="00DE2F54"/>
    <w:rsid w:val="00E1039C"/>
    <w:rsid w:val="00E23182"/>
    <w:rsid w:val="00E248BC"/>
    <w:rsid w:val="00E67955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26451"/>
    <w:rsid w:val="015B4231"/>
    <w:rsid w:val="019412A8"/>
    <w:rsid w:val="03084CFA"/>
    <w:rsid w:val="044E7984"/>
    <w:rsid w:val="06EF4590"/>
    <w:rsid w:val="07577FFE"/>
    <w:rsid w:val="08DF56F4"/>
    <w:rsid w:val="0B3E687F"/>
    <w:rsid w:val="0B770C6E"/>
    <w:rsid w:val="0C021EEA"/>
    <w:rsid w:val="0CCB0469"/>
    <w:rsid w:val="0E1C5AFD"/>
    <w:rsid w:val="10A35309"/>
    <w:rsid w:val="10C022CD"/>
    <w:rsid w:val="13040B92"/>
    <w:rsid w:val="15823F48"/>
    <w:rsid w:val="1586220E"/>
    <w:rsid w:val="19F33BB6"/>
    <w:rsid w:val="1A7603C9"/>
    <w:rsid w:val="1C5E7FF7"/>
    <w:rsid w:val="1DA7357D"/>
    <w:rsid w:val="1E226546"/>
    <w:rsid w:val="20710EDC"/>
    <w:rsid w:val="222168BC"/>
    <w:rsid w:val="263B74AD"/>
    <w:rsid w:val="2FAB0D4A"/>
    <w:rsid w:val="34443CF5"/>
    <w:rsid w:val="36E9502A"/>
    <w:rsid w:val="379A5AEA"/>
    <w:rsid w:val="37CC2317"/>
    <w:rsid w:val="39BF18AF"/>
    <w:rsid w:val="3A826B78"/>
    <w:rsid w:val="3C4E5144"/>
    <w:rsid w:val="3D765006"/>
    <w:rsid w:val="46274AB2"/>
    <w:rsid w:val="48EE2B5D"/>
    <w:rsid w:val="49CB2919"/>
    <w:rsid w:val="4CBC456C"/>
    <w:rsid w:val="4E011CA6"/>
    <w:rsid w:val="4ED47AA5"/>
    <w:rsid w:val="50904884"/>
    <w:rsid w:val="51A45711"/>
    <w:rsid w:val="541643C9"/>
    <w:rsid w:val="55745432"/>
    <w:rsid w:val="576C2812"/>
    <w:rsid w:val="57944C10"/>
    <w:rsid w:val="58401DE4"/>
    <w:rsid w:val="58561E1E"/>
    <w:rsid w:val="59883613"/>
    <w:rsid w:val="5A7140A7"/>
    <w:rsid w:val="5AB31D1B"/>
    <w:rsid w:val="62141EE8"/>
    <w:rsid w:val="63E93C2C"/>
    <w:rsid w:val="65E616B3"/>
    <w:rsid w:val="66D47528"/>
    <w:rsid w:val="6821075B"/>
    <w:rsid w:val="694B4564"/>
    <w:rsid w:val="6A7A2B04"/>
    <w:rsid w:val="6D282B58"/>
    <w:rsid w:val="6D894DC8"/>
    <w:rsid w:val="6E055933"/>
    <w:rsid w:val="70CE5958"/>
    <w:rsid w:val="725C373A"/>
    <w:rsid w:val="762D78B3"/>
    <w:rsid w:val="76BC203B"/>
    <w:rsid w:val="77130569"/>
    <w:rsid w:val="7D10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semiHidden/>
    <w:qFormat/>
    <w:locked/>
    <w:uiPriority w:val="99"/>
    <w:rPr>
      <w:sz w:val="18"/>
    </w:rPr>
  </w:style>
  <w:style w:type="character" w:customStyle="1" w:styleId="9">
    <w:name w:val="页脚 Char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1097</Words>
  <Characters>1212</Characters>
  <Lines>6</Lines>
  <Paragraphs>1</Paragraphs>
  <TotalTime>1</TotalTime>
  <ScaleCrop>false</ScaleCrop>
  <LinksUpToDate>false</LinksUpToDate>
  <CharactersWithSpaces>1382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yy</cp:lastModifiedBy>
  <cp:lastPrinted>2026-08-31T09:21:00Z</cp:lastPrinted>
  <dcterms:modified xsi:type="dcterms:W3CDTF">2026-09-07T03:04:19Z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