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379B0">
      <w:pPr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堡垒机设备采购</w:t>
      </w:r>
      <w:r>
        <w:rPr>
          <w:rFonts w:hint="eastAsia" w:asciiTheme="minorEastAsia" w:hAnsiTheme="minorEastAsia"/>
          <w:b/>
          <w:bCs/>
          <w:sz w:val="32"/>
          <w:szCs w:val="32"/>
        </w:rPr>
        <w:t>市场调研公告</w:t>
      </w:r>
    </w:p>
    <w:p w14:paraId="67D36BAE">
      <w:pPr>
        <w:pStyle w:val="15"/>
        <w:rPr>
          <w:rFonts w:hint="eastAsia"/>
        </w:rPr>
      </w:pPr>
    </w:p>
    <w:p w14:paraId="5E800AF6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丽水市中心医院因</w:t>
      </w:r>
      <w:r>
        <w:rPr>
          <w:rFonts w:hint="eastAsia" w:ascii="宋体" w:hAnsi="宋体" w:cs="宋体"/>
          <w:kern w:val="0"/>
          <w:sz w:val="24"/>
          <w:lang w:val="en-US" w:eastAsia="zh-CN"/>
        </w:rPr>
        <w:t>信息系统</w:t>
      </w:r>
      <w:r>
        <w:rPr>
          <w:rFonts w:hint="eastAsia" w:ascii="宋体" w:hAnsi="宋体" w:cs="宋体"/>
          <w:kern w:val="0"/>
          <w:sz w:val="24"/>
        </w:rPr>
        <w:t>业务发展</w:t>
      </w:r>
      <w:r>
        <w:rPr>
          <w:rFonts w:hint="eastAsia" w:ascii="宋体" w:hAnsi="宋体" w:cs="宋体"/>
          <w:kern w:val="0"/>
          <w:sz w:val="24"/>
          <w:lang w:val="en-US" w:eastAsia="zh-CN"/>
        </w:rPr>
        <w:t>和新系统上线</w:t>
      </w:r>
      <w:r>
        <w:rPr>
          <w:rFonts w:hint="eastAsia" w:ascii="宋体" w:hAnsi="宋体" w:cs="宋体"/>
          <w:kern w:val="0"/>
          <w:sz w:val="24"/>
        </w:rPr>
        <w:t>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服务器数量增加较多，原有堡垒机使用年限较长，存在宕机风险，</w:t>
      </w:r>
      <w:r>
        <w:rPr>
          <w:rFonts w:hint="eastAsia" w:ascii="宋体" w:hAnsi="宋体" w:cs="宋体"/>
          <w:kern w:val="0"/>
          <w:sz w:val="24"/>
        </w:rPr>
        <w:t>需</w:t>
      </w:r>
      <w:r>
        <w:rPr>
          <w:rFonts w:hint="eastAsia" w:ascii="宋体" w:hAnsi="宋体" w:cs="宋体"/>
          <w:kern w:val="0"/>
          <w:sz w:val="24"/>
          <w:lang w:val="en-US" w:eastAsia="zh-CN"/>
        </w:rPr>
        <w:t>重新</w:t>
      </w:r>
      <w:r>
        <w:rPr>
          <w:rFonts w:hint="eastAsia" w:ascii="宋体" w:hAnsi="宋体" w:cs="宋体"/>
          <w:kern w:val="0"/>
          <w:sz w:val="24"/>
        </w:rPr>
        <w:t>采购</w:t>
      </w:r>
      <w:r>
        <w:rPr>
          <w:rFonts w:hint="eastAsia" w:ascii="宋体" w:hAnsi="宋体" w:cs="宋体"/>
          <w:kern w:val="0"/>
          <w:sz w:val="24"/>
          <w:lang w:val="en-US" w:eastAsia="zh-CN"/>
        </w:rPr>
        <w:t>堡垒机设备</w:t>
      </w:r>
      <w:r>
        <w:rPr>
          <w:rFonts w:hint="eastAsia" w:ascii="宋体" w:hAnsi="宋体" w:cs="宋体"/>
          <w:kern w:val="0"/>
          <w:sz w:val="24"/>
        </w:rPr>
        <w:t>，现进行市场调研，欢迎有投标意向且符合资质要求的供应商前来参加。</w:t>
      </w:r>
    </w:p>
    <w:p w14:paraId="713157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项目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内容</w:t>
      </w:r>
    </w:p>
    <w:tbl>
      <w:tblPr>
        <w:tblStyle w:val="20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306"/>
        <w:gridCol w:w="932"/>
        <w:gridCol w:w="2088"/>
        <w:gridCol w:w="2089"/>
      </w:tblGrid>
      <w:tr w14:paraId="7445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48" w:type="pct"/>
            <w:vAlign w:val="center"/>
          </w:tcPr>
          <w:p w14:paraId="0D017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1353" w:type="pct"/>
            <w:vAlign w:val="center"/>
          </w:tcPr>
          <w:p w14:paraId="0CC0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547" w:type="pct"/>
            <w:vAlign w:val="center"/>
          </w:tcPr>
          <w:p w14:paraId="5DDD4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1225" w:type="pct"/>
            <w:vAlign w:val="center"/>
          </w:tcPr>
          <w:p w14:paraId="0DF8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数量</w:t>
            </w:r>
          </w:p>
        </w:tc>
        <w:tc>
          <w:tcPr>
            <w:tcW w:w="1225" w:type="pct"/>
            <w:vAlign w:val="center"/>
          </w:tcPr>
          <w:p w14:paraId="04722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参数</w:t>
            </w:r>
            <w:r>
              <w:rPr>
                <w:rFonts w:ascii="宋体" w:hAnsi="宋体"/>
                <w:sz w:val="24"/>
              </w:rPr>
              <w:t>要求</w:t>
            </w:r>
          </w:p>
        </w:tc>
      </w:tr>
      <w:tr w14:paraId="7FB04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48" w:type="pct"/>
            <w:vAlign w:val="center"/>
          </w:tcPr>
          <w:p w14:paraId="4ABF6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1353" w:type="pct"/>
            <w:vAlign w:val="center"/>
          </w:tcPr>
          <w:p w14:paraId="2B40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堡垒机设备</w:t>
            </w:r>
          </w:p>
        </w:tc>
        <w:tc>
          <w:tcPr>
            <w:tcW w:w="547" w:type="pct"/>
            <w:vAlign w:val="center"/>
          </w:tcPr>
          <w:p w14:paraId="5BF54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1225" w:type="pct"/>
            <w:vAlign w:val="center"/>
          </w:tcPr>
          <w:p w14:paraId="6BF4D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1225" w:type="pct"/>
            <w:vAlign w:val="center"/>
          </w:tcPr>
          <w:p w14:paraId="6C008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见附件一</w:t>
            </w:r>
          </w:p>
        </w:tc>
      </w:tr>
    </w:tbl>
    <w:p w14:paraId="449535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cs="微软雅黑" w:asciiTheme="minorEastAsia" w:hAnsiTheme="minorEastAsia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请有意向的公司按以下要求制作投标资料（一正一副）</w:t>
      </w:r>
    </w:p>
    <w:p w14:paraId="71921710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34"/>
          <w:rFonts w:hint="eastAsia" w:ascii="宋体" w:hAnsi="宋体" w:eastAsia="宋体" w:cs="宋体"/>
          <w:kern w:val="2"/>
          <w:sz w:val="24"/>
          <w:szCs w:val="24"/>
        </w:rPr>
        <w:t>1</w:t>
      </w:r>
      <w:r>
        <w:rPr>
          <w:rStyle w:val="34"/>
          <w:rFonts w:hint="eastAsia" w:cs="宋体"/>
          <w:kern w:val="2"/>
          <w:sz w:val="24"/>
          <w:szCs w:val="24"/>
          <w:lang w:eastAsia="zh-CN"/>
        </w:rPr>
        <w:t>、</w:t>
      </w:r>
      <w:r>
        <w:rPr>
          <w:rFonts w:hint="eastAsia"/>
        </w:rPr>
        <w:t>单位营业执照复印件、法人身份证复印件</w:t>
      </w:r>
    </w:p>
    <w:p w14:paraId="0C8BC4EA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default"/>
          <w:lang w:val="en-US" w:eastAsia="zh-CN"/>
        </w:rPr>
        <w:t>非法人本人参会的，须提供委托书原件及受委托人身份证复印件</w:t>
      </w:r>
    </w:p>
    <w:p w14:paraId="690E0179">
      <w:pPr>
        <w:pStyle w:val="18"/>
        <w:shd w:val="clear" w:color="auto" w:fill="FFFFFF"/>
        <w:spacing w:before="0" w:beforeAutospacing="0" w:after="0" w:afterAutospacing="0" w:line="360" w:lineRule="auto"/>
        <w:ind w:left="375" w:firstLine="120" w:firstLineChars="5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/>
        </w:rPr>
        <w:t>产品</w:t>
      </w:r>
      <w:r>
        <w:t>介绍</w:t>
      </w:r>
    </w:p>
    <w:p w14:paraId="595B6F33">
      <w:pPr>
        <w:pStyle w:val="18"/>
        <w:shd w:val="clear" w:color="auto" w:fill="FFFFFF"/>
        <w:spacing w:before="0" w:beforeAutospacing="0" w:after="0" w:afterAutospacing="0"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投标单位认为需要提供的其他材料（包括服务承诺和经营业绩以及相关证明材料等）</w:t>
      </w:r>
      <w:bookmarkStart w:id="1" w:name="_GoBack"/>
      <w:bookmarkEnd w:id="1"/>
    </w:p>
    <w:p w14:paraId="23C5D51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报价单</w:t>
      </w:r>
    </w:p>
    <w:p w14:paraId="778D8E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以上所有资料均须加盖公司红章，装订成册密封包装，包装袋上注明联系人信息。请有意向的公司于2024年1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</w:rPr>
        <w:t>日17：00 前将调研资料邮寄或送至丽水市中心医院采购中心。</w:t>
      </w:r>
    </w:p>
    <w:p w14:paraId="31FD6CA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洽谈时间另行通知。</w:t>
      </w:r>
    </w:p>
    <w:p w14:paraId="623DFEC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商务咨询：采购中心 苏老师 电话:0578-22854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70</w:t>
      </w:r>
    </w:p>
    <w:p w14:paraId="7F634C3D">
      <w:pPr>
        <w:pStyle w:val="1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技术咨询：信息中心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蒋老师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电话:0578-2285458</w:t>
      </w:r>
    </w:p>
    <w:p w14:paraId="1F70B2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邮编：323000</w:t>
      </w:r>
    </w:p>
    <w:p w14:paraId="4176F9A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联系地址：浙江省丽水市括苍路289号丽水市中心医院采购中心</w:t>
      </w:r>
    </w:p>
    <w:p w14:paraId="0C53E558">
      <w:pPr>
        <w:spacing w:line="360" w:lineRule="auto"/>
        <w:ind w:firstLine="5040" w:firstLineChars="2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2024年1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月 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2392B8F1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p w14:paraId="42511AD2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p w14:paraId="266DC913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p w14:paraId="004B7FB5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p w14:paraId="25B7F6B7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p w14:paraId="7D20B8A7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p w14:paraId="484D6327">
      <w:pPr>
        <w:jc w:val="both"/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</w:pPr>
      <w:r>
        <w:rPr>
          <w:rStyle w:val="37"/>
          <w:rFonts w:hint="eastAsia"/>
        </w:rPr>
        <w:t>附件一</w:t>
      </w:r>
      <w:r>
        <w:rPr>
          <w:rStyle w:val="37"/>
          <w:rFonts w:hint="eastAsia"/>
          <w:lang w:val="en-US" w:eastAsia="zh-CN"/>
        </w:rPr>
        <w:t xml:space="preserve"> </w:t>
      </w:r>
      <w:r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  <w:t xml:space="preserve">                        </w:t>
      </w:r>
    </w:p>
    <w:tbl>
      <w:tblPr>
        <w:tblStyle w:val="2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418"/>
      </w:tblGrid>
      <w:tr w14:paraId="2190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shd w:val="clear" w:color="auto" w:fill="D8D8D8" w:themeFill="background1" w:themeFillShade="D9"/>
            <w:vAlign w:val="center"/>
          </w:tcPr>
          <w:p w14:paraId="656D6151">
            <w:pPr>
              <w:spacing w:line="276" w:lineRule="auto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指标项</w:t>
            </w:r>
          </w:p>
        </w:tc>
        <w:tc>
          <w:tcPr>
            <w:tcW w:w="4353" w:type="pct"/>
            <w:shd w:val="clear" w:color="auto" w:fill="D8D8D8" w:themeFill="background1" w:themeFillShade="D9"/>
            <w:vAlign w:val="center"/>
          </w:tcPr>
          <w:p w14:paraId="1638A0F1">
            <w:pPr>
              <w:spacing w:line="276" w:lineRule="auto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技术要求</w:t>
            </w:r>
          </w:p>
        </w:tc>
      </w:tr>
      <w:tr w14:paraId="1EBD3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75581424">
            <w:pPr>
              <w:widowControl/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规格</w:t>
            </w:r>
          </w:p>
          <w:p w14:paraId="0F445093">
            <w:pPr>
              <w:widowControl/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要求</w:t>
            </w:r>
          </w:p>
        </w:tc>
        <w:tc>
          <w:tcPr>
            <w:tcW w:w="4353" w:type="pct"/>
          </w:tcPr>
          <w:p w14:paraId="75B63BD8">
            <w:pPr>
              <w:widowControl/>
              <w:jc w:val="left"/>
              <w:rPr>
                <w:rFonts w:ascii="Times New Roman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▲标准</w:t>
            </w:r>
            <w:r>
              <w:rPr>
                <w:rFonts w:hint="eastAsia" w:ascii="Times New Roman" w:hAnsi="宋体" w:eastAsia="宋体" w:cs="宋体"/>
                <w:sz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</w:rPr>
              <w:t>U机架式设备，国产化CPU、CPU主频≥</w:t>
            </w:r>
            <w:r>
              <w:rPr>
                <w:rFonts w:hint="eastAsia" w:ascii="Times New Roman" w:hAnsi="宋体" w:eastAsia="宋体" w:cs="宋体"/>
                <w:sz w:val="20"/>
              </w:rPr>
              <w:t>2.8</w:t>
            </w:r>
            <w:r>
              <w:rPr>
                <w:rFonts w:hint="eastAsia" w:ascii="宋体" w:hAnsi="宋体" w:eastAsia="宋体" w:cs="宋体"/>
                <w:sz w:val="20"/>
              </w:rPr>
              <w:t>GHz、核心数≥</w:t>
            </w:r>
            <w:r>
              <w:rPr>
                <w:rFonts w:hint="eastAsia" w:ascii="Times New Roman" w:hAnsi="宋体" w:eastAsia="宋体" w:cs="宋体"/>
                <w:sz w:val="20"/>
              </w:rPr>
              <w:t>8</w:t>
            </w:r>
            <w:r>
              <w:rPr>
                <w:rFonts w:hint="eastAsia" w:ascii="宋体" w:hAnsi="宋体" w:eastAsia="宋体" w:cs="宋体"/>
                <w:sz w:val="20"/>
              </w:rPr>
              <w:t>核，国产操作系统，内存≥</w:t>
            </w:r>
            <w:r>
              <w:rPr>
                <w:rFonts w:hint="eastAsia" w:ascii="Times New Roman" w:hAnsi="宋体" w:eastAsia="宋体" w:cs="宋体"/>
                <w:sz w:val="20"/>
              </w:rPr>
              <w:t>16</w:t>
            </w:r>
            <w:r>
              <w:rPr>
                <w:rFonts w:hint="eastAsia" w:ascii="宋体" w:hAnsi="宋体" w:eastAsia="宋体" w:cs="宋体"/>
                <w:sz w:val="20"/>
              </w:rPr>
              <w:t>G，</w:t>
            </w:r>
            <w:r>
              <w:rPr>
                <w:rFonts w:hint="eastAsia" w:ascii="Times New Roman" w:hAnsi="宋体" w:eastAsia="宋体" w:cs="宋体"/>
                <w:sz w:val="20"/>
              </w:rPr>
              <w:t>硬盘</w:t>
            </w:r>
            <w:r>
              <w:rPr>
                <w:rFonts w:hint="eastAsia" w:ascii="宋体" w:hAnsi="宋体" w:eastAsia="宋体" w:cs="宋体"/>
                <w:sz w:val="20"/>
              </w:rPr>
              <w:t>≥</w:t>
            </w:r>
            <w:r>
              <w:rPr>
                <w:rFonts w:hint="eastAsia" w:ascii="Times New Roman" w:hAnsi="宋体" w:eastAsia="宋体" w:cs="宋体"/>
                <w:sz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</w:rPr>
              <w:t>T，千兆电口≥</w:t>
            </w:r>
            <w:r>
              <w:rPr>
                <w:rFonts w:hint="eastAsia" w:ascii="Times New Roman" w:hAnsi="宋体" w:eastAsia="宋体" w:cs="宋体"/>
                <w:sz w:val="20"/>
              </w:rPr>
              <w:t>6</w:t>
            </w:r>
            <w:r>
              <w:rPr>
                <w:rFonts w:hint="eastAsia" w:ascii="宋体" w:hAnsi="宋体" w:eastAsia="宋体" w:cs="宋体"/>
                <w:sz w:val="20"/>
              </w:rPr>
              <w:t>个,</w:t>
            </w:r>
            <w:r>
              <w:rPr>
                <w:rFonts w:ascii="Times New Roman" w:hAnsi="宋体" w:eastAsia="宋体" w:cs="Times New Roman"/>
                <w:bCs/>
                <w:color w:val="000000"/>
                <w:kern w:val="0"/>
                <w:sz w:val="20"/>
                <w:szCs w:val="20"/>
              </w:rPr>
              <w:t>千兆业务光口</w:t>
            </w:r>
            <w:r>
              <w:rPr>
                <w:rFonts w:hint="eastAsia" w:ascii="宋体" w:hAnsi="宋体" w:eastAsia="宋体" w:cs="宋体"/>
                <w:sz w:val="20"/>
              </w:rPr>
              <w:t>≥</w:t>
            </w:r>
            <w:r>
              <w:rPr>
                <w:rFonts w:hint="eastAsia" w:ascii="Times New Roman" w:hAnsi="宋体" w:eastAsia="宋体" w:cs="宋体"/>
                <w:sz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</w:rPr>
              <w:t>个,万</w:t>
            </w:r>
            <w:r>
              <w:rPr>
                <w:rFonts w:ascii="Times New Roman" w:hAnsi="宋体" w:eastAsia="宋体" w:cs="Times New Roman"/>
                <w:bCs/>
                <w:color w:val="000000"/>
                <w:kern w:val="0"/>
                <w:sz w:val="20"/>
                <w:szCs w:val="20"/>
              </w:rPr>
              <w:t>兆业务光口</w:t>
            </w:r>
            <w:r>
              <w:rPr>
                <w:rFonts w:hint="eastAsia" w:ascii="宋体" w:hAnsi="宋体" w:eastAsia="宋体" w:cs="宋体"/>
                <w:sz w:val="20"/>
              </w:rPr>
              <w:t>≥</w:t>
            </w:r>
            <w:r>
              <w:rPr>
                <w:rFonts w:hint="eastAsia" w:ascii="Times New Roman" w:hAnsi="宋体" w:eastAsia="宋体" w:cs="宋体"/>
                <w:sz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</w:rPr>
              <w:t>个</w:t>
            </w:r>
            <w:r>
              <w:rPr>
                <w:rFonts w:hint="eastAsia" w:ascii="Times New Roman" w:hAnsi="宋体" w:eastAsia="宋体" w:cs="宋体"/>
                <w:sz w:val="20"/>
              </w:rPr>
              <w:t>，双电源</w:t>
            </w:r>
          </w:p>
        </w:tc>
      </w:tr>
      <w:tr w14:paraId="1A58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4A49740B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性能</w:t>
            </w:r>
          </w:p>
          <w:p w14:paraId="65D4DA6C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要求</w:t>
            </w:r>
          </w:p>
        </w:tc>
        <w:tc>
          <w:tcPr>
            <w:tcW w:w="4353" w:type="pct"/>
          </w:tcPr>
          <w:p w14:paraId="0A6C349C">
            <w:pPr>
              <w:widowControl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▲</w:t>
            </w:r>
            <w:r>
              <w:rPr>
                <w:rFonts w:hint="eastAsia" w:ascii="宋体" w:hAnsi="宋体" w:eastAsia="宋体" w:cs="宋体"/>
                <w:sz w:val="20"/>
                <w:szCs w:val="22"/>
              </w:rPr>
              <w:t>授权运维资产数≥</w:t>
            </w:r>
            <w:r>
              <w:rPr>
                <w:rFonts w:hint="eastAsia" w:ascii="Times New Roman" w:hAnsi="宋体" w:eastAsia="宋体" w:cs="宋体"/>
                <w:sz w:val="20"/>
                <w:szCs w:val="22"/>
              </w:rPr>
              <w:t>1000</w:t>
            </w:r>
            <w:r>
              <w:rPr>
                <w:rFonts w:hint="eastAsia" w:ascii="宋体" w:hAnsi="宋体" w:eastAsia="宋体" w:cs="宋体"/>
                <w:sz w:val="20"/>
                <w:szCs w:val="22"/>
              </w:rPr>
              <w:t>个、并发字符连接最大数≥</w:t>
            </w:r>
            <w:r>
              <w:rPr>
                <w:rFonts w:hint="eastAsia" w:ascii="Times New Roman" w:hAnsi="宋体" w:eastAsia="宋体" w:cs="宋体"/>
                <w:sz w:val="20"/>
                <w:szCs w:val="22"/>
              </w:rPr>
              <w:t>1</w:t>
            </w:r>
            <w:r>
              <w:rPr>
                <w:rFonts w:ascii="Times New Roman" w:hAnsi="宋体" w:eastAsia="宋体" w:cs="宋体"/>
                <w:sz w:val="20"/>
                <w:szCs w:val="22"/>
              </w:rPr>
              <w:t>0</w:t>
            </w:r>
            <w:r>
              <w:rPr>
                <w:rFonts w:hint="eastAsia" w:ascii="Times New Roman" w:hAnsi="宋体" w:eastAsia="宋体" w:cs="宋体"/>
                <w:sz w:val="20"/>
                <w:szCs w:val="22"/>
              </w:rPr>
              <w:t>00</w:t>
            </w:r>
            <w:r>
              <w:rPr>
                <w:rFonts w:hint="eastAsia" w:ascii="宋体" w:hAnsi="宋体" w:eastAsia="宋体" w:cs="宋体"/>
                <w:sz w:val="20"/>
                <w:szCs w:val="22"/>
              </w:rPr>
              <w:t>个、并发图形连接最大数≥</w:t>
            </w:r>
            <w:r>
              <w:rPr>
                <w:rFonts w:hint="eastAsia" w:ascii="Times New Roman" w:hAnsi="宋体" w:eastAsia="宋体" w:cs="宋体"/>
                <w:sz w:val="20"/>
                <w:szCs w:val="22"/>
              </w:rPr>
              <w:t>300</w:t>
            </w:r>
            <w:r>
              <w:rPr>
                <w:rFonts w:hint="eastAsia" w:ascii="宋体" w:hAnsi="宋体" w:eastAsia="宋体" w:cs="宋体"/>
                <w:sz w:val="20"/>
                <w:szCs w:val="22"/>
              </w:rPr>
              <w:t>个</w:t>
            </w:r>
          </w:p>
        </w:tc>
      </w:tr>
      <w:tr w14:paraId="0534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238DB044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兼容性</w:t>
            </w:r>
          </w:p>
          <w:p w14:paraId="665D53CE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认证</w:t>
            </w:r>
          </w:p>
        </w:tc>
        <w:tc>
          <w:tcPr>
            <w:tcW w:w="4353" w:type="pct"/>
            <w:vAlign w:val="center"/>
          </w:tcPr>
          <w:p w14:paraId="18120365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产品与龙芯、飞腾、兆芯、鲲鹏、海光CPU厂商（至少提供一份）、与麒麟软件、统信软件其中（至少提供一份）操作系统厂商通过兼容互认证，保证信创环境可用、易用（提供互认证书证明）</w:t>
            </w:r>
          </w:p>
        </w:tc>
      </w:tr>
      <w:tr w14:paraId="144C7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09B9D196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单点登录认证</w:t>
            </w:r>
          </w:p>
        </w:tc>
        <w:tc>
          <w:tcPr>
            <w:tcW w:w="4353" w:type="pct"/>
            <w:vAlign w:val="center"/>
          </w:tcPr>
          <w:p w14:paraId="1DDC088D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★支持标准化对接CAS、JWT、SAML2、OAuth2单点登录认证，且支持配置是否自动创建堡垒机中不存在用户（提供产品功能截图）</w:t>
            </w:r>
          </w:p>
        </w:tc>
      </w:tr>
      <w:tr w14:paraId="38CEF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2A862841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登录认证方式</w:t>
            </w:r>
          </w:p>
        </w:tc>
        <w:tc>
          <w:tcPr>
            <w:tcW w:w="4353" w:type="pct"/>
            <w:vAlign w:val="center"/>
          </w:tcPr>
          <w:p w14:paraId="26C1E093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★支持设备登录认证，除用户名密码外，还支持企业微信、钉钉、手机令牌、P13统一认证等认证方式（提供产品功能截图）</w:t>
            </w:r>
          </w:p>
        </w:tc>
      </w:tr>
      <w:tr w14:paraId="6F404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017D1FE4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自动收集和自动授权</w:t>
            </w:r>
          </w:p>
        </w:tc>
        <w:tc>
          <w:tcPr>
            <w:tcW w:w="4353" w:type="pct"/>
            <w:vAlign w:val="center"/>
          </w:tcPr>
          <w:p w14:paraId="6B0449ED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★支持自动收集设备IP、运维协议、端口号、账号、密码、与用户的权限关系，可自动完成授权。（提供产品功能截图和功能自主开发证明）</w:t>
            </w:r>
          </w:p>
        </w:tc>
      </w:tr>
      <w:tr w14:paraId="0504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2D2DF01F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数据库兼容性</w:t>
            </w:r>
          </w:p>
        </w:tc>
        <w:tc>
          <w:tcPr>
            <w:tcW w:w="4353" w:type="pct"/>
            <w:vAlign w:val="center"/>
          </w:tcPr>
          <w:p w14:paraId="05D6DB73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支持DB2、Oracle、MySql、SQL Server、PostgreSQL、KingbaseES、DM、GBase8a、GBASE8s的协议运维代理，可实现自动登录，自动登录可直接调用本地windows系统的数据库客户端工具（包括ssms、sqlwb、DBeaver、mysqlcli、MySQLWorkbench、MySQLFront、DbVisualizer、PLSQL、SQLPlus、Toad、ToadforDB2、db2cmd、QuestCentral、pgAdmin3、psql、Ksql、Isql、DIsql、DMmanger、GBaseDateStudio、navicat系列等），无需应用发布前置机（提供产品功能截图）</w:t>
            </w:r>
          </w:p>
        </w:tc>
      </w:tr>
      <w:tr w14:paraId="5967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05A294B4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数据库命令管控</w:t>
            </w:r>
          </w:p>
        </w:tc>
        <w:tc>
          <w:tcPr>
            <w:tcW w:w="4353" w:type="pct"/>
            <w:vAlign w:val="center"/>
          </w:tcPr>
          <w:p w14:paraId="08A09B5C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支持命令管控能力，可以实现阻断会话、阻断命令、审批、直接放行4种动作，精确到数据库，表、字段级别（提供产品功能截图）</w:t>
            </w:r>
          </w:p>
        </w:tc>
      </w:tr>
      <w:tr w14:paraId="07D3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509729F2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bookmarkStart w:id="0" w:name="书签1：工单审计★对于" w:colFirst="1" w:colLast="2"/>
            <w:r>
              <w:rPr>
                <w:rFonts w:hint="eastAsia" w:ascii="宋体" w:hAnsi="宋体" w:eastAsia="宋体" w:cs="宋体"/>
                <w:sz w:val="20"/>
                <w:szCs w:val="22"/>
              </w:rPr>
              <w:t>工单审计</w:t>
            </w:r>
          </w:p>
        </w:tc>
        <w:tc>
          <w:tcPr>
            <w:tcW w:w="4353" w:type="pct"/>
            <w:vAlign w:val="center"/>
          </w:tcPr>
          <w:p w14:paraId="505AECF0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工单申请并批准的资产运维会话，提供单独的工单会话访问列表和单独的工单会话审计界面，便于审计员进行区分，实现细颗粒度运维审计</w:t>
            </w:r>
          </w:p>
        </w:tc>
      </w:tr>
      <w:bookmarkEnd w:id="0"/>
      <w:tr w14:paraId="038CF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47E264DA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账号发现</w:t>
            </w:r>
          </w:p>
        </w:tc>
        <w:tc>
          <w:tcPr>
            <w:tcW w:w="4353" w:type="pct"/>
            <w:vAlign w:val="center"/>
          </w:tcPr>
          <w:p w14:paraId="2BF10230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支持对已纳管的主机进行主机账号扫描，发现主机上未纳管到堡垒机的账号，同时记录相关账号名称、使用协议；发现的账号支持一键纳管至堡垒机中，并可将结果进行导出</w:t>
            </w:r>
          </w:p>
        </w:tc>
      </w:tr>
      <w:tr w14:paraId="5405C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15AB0F6A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数据库自动改密</w:t>
            </w:r>
          </w:p>
        </w:tc>
        <w:tc>
          <w:tcPr>
            <w:tcW w:w="4353" w:type="pct"/>
            <w:vAlign w:val="center"/>
          </w:tcPr>
          <w:p w14:paraId="31FD6E06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★支持对常见数据库及国产数据库的自动改密功能，包括DB2、oracle、mysql、sqlserver、PG、人大金仓、GBase8a、GBase8s、达梦数据库等（提供产品功能截图）</w:t>
            </w:r>
          </w:p>
        </w:tc>
      </w:tr>
      <w:tr w14:paraId="74EA4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Merge w:val="restart"/>
            <w:vAlign w:val="center"/>
          </w:tcPr>
          <w:p w14:paraId="28D9B125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专用客户端运维</w:t>
            </w:r>
          </w:p>
        </w:tc>
        <w:tc>
          <w:tcPr>
            <w:tcW w:w="4353" w:type="pct"/>
            <w:vAlign w:val="center"/>
          </w:tcPr>
          <w:p w14:paraId="5416DB76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支持Windows/macOS操作系统下C/S架构的堡垒机专用客户端，可通过此专用客户端登录堡垒机，对堡垒机进行简单的管理及运维资产操作（提供产品功能截图）</w:t>
            </w:r>
          </w:p>
        </w:tc>
      </w:tr>
      <w:tr w14:paraId="4FB1A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Merge w:val="continue"/>
            <w:vAlign w:val="center"/>
          </w:tcPr>
          <w:p w14:paraId="3ACB9EEA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353" w:type="pct"/>
            <w:vAlign w:val="center"/>
          </w:tcPr>
          <w:p w14:paraId="5423CA40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支持UOS /麒麟等国产操作系统下C/S架构的堡垒机专用客户端登录堡垒机并进行管理及运维操作（提供产品功能截图）</w:t>
            </w:r>
          </w:p>
        </w:tc>
      </w:tr>
      <w:tr w14:paraId="0699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0574179D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H5运维</w:t>
            </w:r>
          </w:p>
        </w:tc>
        <w:tc>
          <w:tcPr>
            <w:tcW w:w="4353" w:type="pct"/>
            <w:vAlign w:val="center"/>
          </w:tcPr>
          <w:p w14:paraId="0A406A85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★支持ssh、telnet、rlogin、rdp、vnc、ftp、sftp、x11协议的H5运维，无需本地运维客户端工具。（提供产品功能截图）</w:t>
            </w:r>
          </w:p>
        </w:tc>
      </w:tr>
      <w:tr w14:paraId="1B9DB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02D2BA16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禁审功能</w:t>
            </w:r>
          </w:p>
        </w:tc>
        <w:tc>
          <w:tcPr>
            <w:tcW w:w="4353" w:type="pct"/>
            <w:vAlign w:val="center"/>
          </w:tcPr>
          <w:p w14:paraId="76375DAA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★支持提供禁止审计功能，可对部分设定策略的会话不审计录像，防止机密信息二次泄漏。（提供产品功能截图）</w:t>
            </w:r>
          </w:p>
        </w:tc>
      </w:tr>
      <w:tr w14:paraId="2C35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3107E610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SQL记录</w:t>
            </w:r>
          </w:p>
        </w:tc>
        <w:tc>
          <w:tcPr>
            <w:tcW w:w="4353" w:type="pct"/>
            <w:vAlign w:val="center"/>
          </w:tcPr>
          <w:p w14:paraId="40437BB0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★支持审计主流数据库（如DB2、oracle、mysql、sql server、PG、GBase8a、人大金仓、达梦）运维中的SQL语句，可进行关键信息定位查询，并可过滤数据库客户端自动发起的语句，方便查询真实人为的数据库操作（提供产品功能截图）</w:t>
            </w:r>
          </w:p>
        </w:tc>
      </w:tr>
      <w:tr w14:paraId="3B6C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0932E8FC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审计规则</w:t>
            </w:r>
          </w:p>
        </w:tc>
        <w:tc>
          <w:tcPr>
            <w:tcW w:w="4353" w:type="pct"/>
            <w:vAlign w:val="center"/>
          </w:tcPr>
          <w:p w14:paraId="1B8CCE30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支持针对审计操作进行规则设置，自定义用户与资产的审计关系，即可选择用户有权限审计指定设备的操作行为</w:t>
            </w:r>
          </w:p>
        </w:tc>
      </w:tr>
      <w:tr w14:paraId="08B86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54C0C906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运维会话自审</w:t>
            </w:r>
          </w:p>
        </w:tc>
        <w:tc>
          <w:tcPr>
            <w:tcW w:w="4353" w:type="pct"/>
            <w:vAlign w:val="center"/>
          </w:tcPr>
          <w:p w14:paraId="4EDDACE2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支持运维用户查询用户本人的运维审计会话，减轻审计管理员的负担，并且帮助运维用户提高运维效率（提供产品功能截图）</w:t>
            </w:r>
          </w:p>
        </w:tc>
      </w:tr>
      <w:tr w14:paraId="7F03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5F7741EB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运维二次审批</w:t>
            </w:r>
          </w:p>
        </w:tc>
        <w:tc>
          <w:tcPr>
            <w:tcW w:w="4353" w:type="pct"/>
            <w:vAlign w:val="center"/>
          </w:tcPr>
          <w:p w14:paraId="5884B34E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支持对重要设备启用登录审核功能，运维人员须向管理员申请登录，管理员允许之后才可登录；并且管理员在审批时可以设置审批有效期，及在有效期内是否不限制登录次数</w:t>
            </w:r>
          </w:p>
        </w:tc>
      </w:tr>
      <w:tr w14:paraId="5F4B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3AC2BD0C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命令审批</w:t>
            </w:r>
          </w:p>
        </w:tc>
        <w:tc>
          <w:tcPr>
            <w:tcW w:w="4353" w:type="pct"/>
            <w:vAlign w:val="center"/>
          </w:tcPr>
          <w:p w14:paraId="3CD132AF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对重要命令进行审核：运维人员执行命令后，需等到管理员审批通过后才可执行成功。可选择性设置自定义时间内未审批，对命令自动放行。执行命令的运维人员在运维待审批命令时，可选择终止此命令。（提供产品功能截图和产品功能自主开发证明）</w:t>
            </w:r>
          </w:p>
        </w:tc>
      </w:tr>
      <w:tr w14:paraId="408D9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5DC7004A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任务编排</w:t>
            </w:r>
          </w:p>
        </w:tc>
        <w:tc>
          <w:tcPr>
            <w:tcW w:w="4353" w:type="pct"/>
            <w:vAlign w:val="center"/>
          </w:tcPr>
          <w:p w14:paraId="270181E8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具备自动化编排能力，通过编排动作流的方式，对目标资产进行定时或周期性的自动化运维。动作流可包括：上传文件、执行命令、下载文件等。动作流会按设定好的顺序进行执行，对于常见的运维工作，如升级、巡检等，均可通过此能力快速（提供产品功能截图）</w:t>
            </w:r>
          </w:p>
        </w:tc>
      </w:tr>
      <w:tr w14:paraId="46DF5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65B5B8C8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水印功能</w:t>
            </w:r>
          </w:p>
        </w:tc>
        <w:tc>
          <w:tcPr>
            <w:tcW w:w="4353" w:type="pct"/>
            <w:vAlign w:val="center"/>
          </w:tcPr>
          <w:p w14:paraId="567E808D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支持H5运维及查看录像全程支持水印功能，支持调整水印显示透明度</w:t>
            </w:r>
          </w:p>
        </w:tc>
      </w:tr>
      <w:tr w14:paraId="081A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6C77B1BA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系统版本回退</w:t>
            </w:r>
          </w:p>
        </w:tc>
        <w:tc>
          <w:tcPr>
            <w:tcW w:w="4353" w:type="pct"/>
            <w:vAlign w:val="center"/>
          </w:tcPr>
          <w:p w14:paraId="0BFFF954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★支持系统升级后，再回退至升级前的版本，方便医院处理割接过程中出现的突发情况（提供产品功能截图）</w:t>
            </w:r>
          </w:p>
        </w:tc>
      </w:tr>
      <w:tr w14:paraId="79EA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68097841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告警输出</w:t>
            </w:r>
          </w:p>
        </w:tc>
        <w:tc>
          <w:tcPr>
            <w:tcW w:w="4353" w:type="pct"/>
            <w:vAlign w:val="center"/>
          </w:tcPr>
          <w:p w14:paraId="382D2DFD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支持邮件/Syslog/钉钉告警方式输出告警日志，可配置日志重要程度；支持通过SNMP方式输出系统信息，兼容SNMPv1、v2c和v3版本</w:t>
            </w:r>
          </w:p>
        </w:tc>
      </w:tr>
      <w:tr w14:paraId="60358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1760AEC4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数据存储机密性</w:t>
            </w:r>
          </w:p>
        </w:tc>
        <w:tc>
          <w:tcPr>
            <w:tcW w:w="4353" w:type="pct"/>
            <w:vAlign w:val="center"/>
          </w:tcPr>
          <w:p w14:paraId="14B7F387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★支持采用国密加密算法进行核心敏感数据进行加密存储，且支持使用软件/硬件方式加密，以保证重要数据在系统内存储的机密性（提供产品功能截图）</w:t>
            </w:r>
          </w:p>
        </w:tc>
      </w:tr>
      <w:tr w14:paraId="764B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47D9663D">
            <w:pPr>
              <w:pStyle w:val="14"/>
              <w:spacing w:line="276" w:lineRule="auto"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Times New Roman" w:hAnsi="宋体" w:eastAsia="宋体" w:cs="宋体"/>
                <w:sz w:val="20"/>
                <w:szCs w:val="22"/>
              </w:rPr>
              <w:t>资质要求</w:t>
            </w:r>
          </w:p>
        </w:tc>
        <w:tc>
          <w:tcPr>
            <w:tcW w:w="4353" w:type="pct"/>
            <w:vAlign w:val="center"/>
          </w:tcPr>
          <w:p w14:paraId="4D3520F2">
            <w:pPr>
              <w:pStyle w:val="14"/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eastAsia="宋体" w:asciiTheme="minorEastAsia" w:hAnsiTheme="minorEastAsia"/>
                <w:bCs/>
                <w:color w:val="000000"/>
                <w:kern w:val="0"/>
                <w:sz w:val="20"/>
              </w:rPr>
              <w:t>产品具有《网络安全专用产品安全检测证书》，需提供证书复印件</w:t>
            </w:r>
          </w:p>
        </w:tc>
      </w:tr>
      <w:tr w14:paraId="1920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pct"/>
            <w:vAlign w:val="center"/>
          </w:tcPr>
          <w:p w14:paraId="66116AFD">
            <w:pPr>
              <w:widowControl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售后服务</w:t>
            </w:r>
          </w:p>
        </w:tc>
        <w:tc>
          <w:tcPr>
            <w:tcW w:w="4353" w:type="pct"/>
            <w:vAlign w:val="center"/>
          </w:tcPr>
          <w:p w14:paraId="0D309951">
            <w:pPr>
              <w:widowControl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提供硬件3年免费保修，软件3年免费升级的原厂商服务</w:t>
            </w:r>
          </w:p>
        </w:tc>
      </w:tr>
      <w:tr w14:paraId="1EB0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01" w:type="dxa"/>
            <w:vAlign w:val="center"/>
          </w:tcPr>
          <w:p w14:paraId="04012447">
            <w:pPr>
              <w:widowControl/>
              <w:jc w:val="center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其他要求</w:t>
            </w:r>
            <w:r>
              <w:rPr>
                <w:rFonts w:hint="eastAsia" w:eastAsia="宋体" w:asciiTheme="minorEastAsia" w:hAnsiTheme="minorEastAsia" w:cstheme="minorEastAsia"/>
                <w:szCs w:val="21"/>
              </w:rPr>
              <w:t>▲</w:t>
            </w:r>
          </w:p>
        </w:tc>
        <w:tc>
          <w:tcPr>
            <w:tcW w:w="7418" w:type="dxa"/>
            <w:vAlign w:val="center"/>
          </w:tcPr>
          <w:p w14:paraId="48AD310C">
            <w:pPr>
              <w:widowControl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</w:rPr>
              <w:t>中标后七个工作日内，中标供应商需提供样机或测试环境对上述功能进行逐一测试，测试通过后才能执行合同流程，测试中若发现有虚假应标行为，采购人保留追究厂商及代理商法律责任的权力，并禁止虚假应标者（厂商及代理商）三年内参与招标单位后期所有项目。</w:t>
            </w:r>
          </w:p>
        </w:tc>
      </w:tr>
    </w:tbl>
    <w:p w14:paraId="0867645B">
      <w:pPr>
        <w:pStyle w:val="13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EB869"/>
    <w:multiLevelType w:val="singleLevel"/>
    <w:tmpl w:val="836EB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3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TkwYzE4YzA2ZWJkNTI0NGI5YWJmNThkNTMzZGYifQ=="/>
  </w:docVars>
  <w:rsids>
    <w:rsidRoot w:val="003B13E2"/>
    <w:rsid w:val="001A3B60"/>
    <w:rsid w:val="003B13E2"/>
    <w:rsid w:val="005276BF"/>
    <w:rsid w:val="0073529F"/>
    <w:rsid w:val="00851677"/>
    <w:rsid w:val="00891DCE"/>
    <w:rsid w:val="00BF52BD"/>
    <w:rsid w:val="00CA33CF"/>
    <w:rsid w:val="00CD7312"/>
    <w:rsid w:val="00DA453F"/>
    <w:rsid w:val="00E25B8A"/>
    <w:rsid w:val="00E41F37"/>
    <w:rsid w:val="00EB743E"/>
    <w:rsid w:val="01966C21"/>
    <w:rsid w:val="03AE2125"/>
    <w:rsid w:val="03B16AEB"/>
    <w:rsid w:val="04267B2D"/>
    <w:rsid w:val="043F0BEF"/>
    <w:rsid w:val="04412B42"/>
    <w:rsid w:val="05FB0B46"/>
    <w:rsid w:val="0687062B"/>
    <w:rsid w:val="06AB256C"/>
    <w:rsid w:val="06D33870"/>
    <w:rsid w:val="06E94E42"/>
    <w:rsid w:val="06EE4206"/>
    <w:rsid w:val="06F37A6F"/>
    <w:rsid w:val="07267E44"/>
    <w:rsid w:val="081163FE"/>
    <w:rsid w:val="08517143"/>
    <w:rsid w:val="0865499C"/>
    <w:rsid w:val="092601C0"/>
    <w:rsid w:val="0BD75BB1"/>
    <w:rsid w:val="0C236700"/>
    <w:rsid w:val="0D740638"/>
    <w:rsid w:val="0D9A50E8"/>
    <w:rsid w:val="0DD2616E"/>
    <w:rsid w:val="0E476D2C"/>
    <w:rsid w:val="0F1F58A5"/>
    <w:rsid w:val="0FFC5BE6"/>
    <w:rsid w:val="10207B26"/>
    <w:rsid w:val="104E7E5F"/>
    <w:rsid w:val="106317C1"/>
    <w:rsid w:val="109F7890"/>
    <w:rsid w:val="10A5627E"/>
    <w:rsid w:val="11290C5D"/>
    <w:rsid w:val="112A22DF"/>
    <w:rsid w:val="11FF3C31"/>
    <w:rsid w:val="13561AB1"/>
    <w:rsid w:val="138E124B"/>
    <w:rsid w:val="13CC1D73"/>
    <w:rsid w:val="14011A1D"/>
    <w:rsid w:val="14603C13"/>
    <w:rsid w:val="15FA1D81"/>
    <w:rsid w:val="16022AE9"/>
    <w:rsid w:val="16734728"/>
    <w:rsid w:val="167D5269"/>
    <w:rsid w:val="170F26A3"/>
    <w:rsid w:val="17A0154D"/>
    <w:rsid w:val="17E256C1"/>
    <w:rsid w:val="18932E60"/>
    <w:rsid w:val="18C179CD"/>
    <w:rsid w:val="190B50EC"/>
    <w:rsid w:val="192E4C7B"/>
    <w:rsid w:val="19A835B8"/>
    <w:rsid w:val="1A9F789A"/>
    <w:rsid w:val="1AA11864"/>
    <w:rsid w:val="1AFA0F74"/>
    <w:rsid w:val="1D5D4359"/>
    <w:rsid w:val="1F036BF1"/>
    <w:rsid w:val="1F2D1BBE"/>
    <w:rsid w:val="1FAC4585"/>
    <w:rsid w:val="204131A1"/>
    <w:rsid w:val="21130FE1"/>
    <w:rsid w:val="214430CF"/>
    <w:rsid w:val="21C27025"/>
    <w:rsid w:val="21F754B0"/>
    <w:rsid w:val="223360B0"/>
    <w:rsid w:val="224F650C"/>
    <w:rsid w:val="22C541CF"/>
    <w:rsid w:val="23244DE0"/>
    <w:rsid w:val="23FF3873"/>
    <w:rsid w:val="24134E54"/>
    <w:rsid w:val="246F652F"/>
    <w:rsid w:val="24D30999"/>
    <w:rsid w:val="25630D1B"/>
    <w:rsid w:val="25755A44"/>
    <w:rsid w:val="25F56F08"/>
    <w:rsid w:val="26347A30"/>
    <w:rsid w:val="27075144"/>
    <w:rsid w:val="27227E1F"/>
    <w:rsid w:val="286A598B"/>
    <w:rsid w:val="28924EE2"/>
    <w:rsid w:val="2903193C"/>
    <w:rsid w:val="290E3FAE"/>
    <w:rsid w:val="297665B1"/>
    <w:rsid w:val="29CE019B"/>
    <w:rsid w:val="2B204A27"/>
    <w:rsid w:val="2B6761B2"/>
    <w:rsid w:val="2B920D55"/>
    <w:rsid w:val="2C0F4794"/>
    <w:rsid w:val="2C1C3440"/>
    <w:rsid w:val="2CAE46E2"/>
    <w:rsid w:val="2D485B6F"/>
    <w:rsid w:val="2E786A33"/>
    <w:rsid w:val="2F713AA3"/>
    <w:rsid w:val="2FED3B46"/>
    <w:rsid w:val="308A2E69"/>
    <w:rsid w:val="30F06C49"/>
    <w:rsid w:val="314D409C"/>
    <w:rsid w:val="326F5B17"/>
    <w:rsid w:val="329F0927"/>
    <w:rsid w:val="337C2D08"/>
    <w:rsid w:val="33AD497E"/>
    <w:rsid w:val="33D54DB8"/>
    <w:rsid w:val="349D2C44"/>
    <w:rsid w:val="3545366F"/>
    <w:rsid w:val="3619454C"/>
    <w:rsid w:val="36E032BC"/>
    <w:rsid w:val="38272362"/>
    <w:rsid w:val="38340B7F"/>
    <w:rsid w:val="38534E4E"/>
    <w:rsid w:val="387D5266"/>
    <w:rsid w:val="396C52DB"/>
    <w:rsid w:val="39730417"/>
    <w:rsid w:val="397C551E"/>
    <w:rsid w:val="39F06F70"/>
    <w:rsid w:val="3A2636DC"/>
    <w:rsid w:val="3AD61FCA"/>
    <w:rsid w:val="3B3360B0"/>
    <w:rsid w:val="3B6C2B3C"/>
    <w:rsid w:val="3B84690C"/>
    <w:rsid w:val="3D632551"/>
    <w:rsid w:val="3D7E429F"/>
    <w:rsid w:val="3EFF7691"/>
    <w:rsid w:val="3F3E3D7D"/>
    <w:rsid w:val="3FC1012F"/>
    <w:rsid w:val="40EE65D6"/>
    <w:rsid w:val="4110479E"/>
    <w:rsid w:val="41C71300"/>
    <w:rsid w:val="427C7D09"/>
    <w:rsid w:val="43B34232"/>
    <w:rsid w:val="45837C34"/>
    <w:rsid w:val="458A2D71"/>
    <w:rsid w:val="467F664E"/>
    <w:rsid w:val="46F72688"/>
    <w:rsid w:val="476A2E5A"/>
    <w:rsid w:val="47E2253F"/>
    <w:rsid w:val="488A12DA"/>
    <w:rsid w:val="49CE64DD"/>
    <w:rsid w:val="4AF75CF9"/>
    <w:rsid w:val="4B152DA9"/>
    <w:rsid w:val="4B8D7117"/>
    <w:rsid w:val="4BD77D9C"/>
    <w:rsid w:val="4BE578AC"/>
    <w:rsid w:val="4C7B3413"/>
    <w:rsid w:val="4DE43F27"/>
    <w:rsid w:val="4DEB45C9"/>
    <w:rsid w:val="4EB052CB"/>
    <w:rsid w:val="4FB220CB"/>
    <w:rsid w:val="4FB8497E"/>
    <w:rsid w:val="505A5A36"/>
    <w:rsid w:val="50874A7C"/>
    <w:rsid w:val="50C7131D"/>
    <w:rsid w:val="51606A47"/>
    <w:rsid w:val="517F39A6"/>
    <w:rsid w:val="51894824"/>
    <w:rsid w:val="519F78D8"/>
    <w:rsid w:val="51AC22C1"/>
    <w:rsid w:val="5212481A"/>
    <w:rsid w:val="52546BE0"/>
    <w:rsid w:val="52EF2FFC"/>
    <w:rsid w:val="543D214A"/>
    <w:rsid w:val="54D97871"/>
    <w:rsid w:val="55EF09CE"/>
    <w:rsid w:val="5618403D"/>
    <w:rsid w:val="57081D47"/>
    <w:rsid w:val="579559F4"/>
    <w:rsid w:val="57A270E0"/>
    <w:rsid w:val="57EB28DD"/>
    <w:rsid w:val="585F75DD"/>
    <w:rsid w:val="58AC2BA6"/>
    <w:rsid w:val="58ED74D9"/>
    <w:rsid w:val="590B1FC3"/>
    <w:rsid w:val="59256E5C"/>
    <w:rsid w:val="592B61C1"/>
    <w:rsid w:val="59693361"/>
    <w:rsid w:val="5ADD6AB5"/>
    <w:rsid w:val="5B5E287E"/>
    <w:rsid w:val="5B871DD5"/>
    <w:rsid w:val="5B8D4F11"/>
    <w:rsid w:val="5BC56D23"/>
    <w:rsid w:val="5BE2525D"/>
    <w:rsid w:val="5C9F5A2F"/>
    <w:rsid w:val="5D54174E"/>
    <w:rsid w:val="5D727841"/>
    <w:rsid w:val="5E875C48"/>
    <w:rsid w:val="5F5E78A6"/>
    <w:rsid w:val="60DF51CC"/>
    <w:rsid w:val="61D928CC"/>
    <w:rsid w:val="61E76F9C"/>
    <w:rsid w:val="62361E5F"/>
    <w:rsid w:val="62586279"/>
    <w:rsid w:val="628F5A13"/>
    <w:rsid w:val="63B03E93"/>
    <w:rsid w:val="646D1D84"/>
    <w:rsid w:val="65C04BF1"/>
    <w:rsid w:val="65D5377D"/>
    <w:rsid w:val="66390881"/>
    <w:rsid w:val="67AA29A7"/>
    <w:rsid w:val="67FC76A6"/>
    <w:rsid w:val="680D18B3"/>
    <w:rsid w:val="686B0145"/>
    <w:rsid w:val="68C27790"/>
    <w:rsid w:val="697C6BB5"/>
    <w:rsid w:val="69BF737C"/>
    <w:rsid w:val="6A042A38"/>
    <w:rsid w:val="6B607F4C"/>
    <w:rsid w:val="6B712159"/>
    <w:rsid w:val="6B8D44DA"/>
    <w:rsid w:val="6BB64010"/>
    <w:rsid w:val="6C042FCD"/>
    <w:rsid w:val="6C164AAF"/>
    <w:rsid w:val="6C550FEE"/>
    <w:rsid w:val="6C676365"/>
    <w:rsid w:val="6CDA3D2E"/>
    <w:rsid w:val="6E1C5249"/>
    <w:rsid w:val="6E3A0F28"/>
    <w:rsid w:val="6F210A63"/>
    <w:rsid w:val="6F894BFD"/>
    <w:rsid w:val="713C4FB8"/>
    <w:rsid w:val="717A163C"/>
    <w:rsid w:val="71816E6E"/>
    <w:rsid w:val="73F73418"/>
    <w:rsid w:val="742835D1"/>
    <w:rsid w:val="74933140"/>
    <w:rsid w:val="75273889"/>
    <w:rsid w:val="75DC28C5"/>
    <w:rsid w:val="765B2F9F"/>
    <w:rsid w:val="766052A4"/>
    <w:rsid w:val="779416A9"/>
    <w:rsid w:val="77EF67F0"/>
    <w:rsid w:val="781B342A"/>
    <w:rsid w:val="785A7E98"/>
    <w:rsid w:val="78B97DC3"/>
    <w:rsid w:val="78C17E4E"/>
    <w:rsid w:val="79533C02"/>
    <w:rsid w:val="7AB12572"/>
    <w:rsid w:val="7B193A89"/>
    <w:rsid w:val="7B9A04D8"/>
    <w:rsid w:val="7C290862"/>
    <w:rsid w:val="7CF90201"/>
    <w:rsid w:val="7D123B4E"/>
    <w:rsid w:val="7D1E1A15"/>
    <w:rsid w:val="7D364FB1"/>
    <w:rsid w:val="7DDF11A4"/>
    <w:rsid w:val="7DED1FB1"/>
    <w:rsid w:val="7DF877BF"/>
    <w:rsid w:val="7E9C0E44"/>
    <w:rsid w:val="7EC30AC6"/>
    <w:rsid w:val="7FD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4">
    <w:name w:val="heading 2"/>
    <w:basedOn w:val="1"/>
    <w:next w:val="1"/>
    <w:link w:val="37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3"/>
    <w:basedOn w:val="1"/>
    <w:next w:val="1"/>
    <w:link w:val="27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6">
    <w:name w:val="heading 4"/>
    <w:basedOn w:val="1"/>
    <w:next w:val="1"/>
    <w:link w:val="28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7">
    <w:name w:val="heading 5"/>
    <w:basedOn w:val="1"/>
    <w:next w:val="1"/>
    <w:link w:val="29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8">
    <w:name w:val="heading 6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9">
    <w:name w:val="heading 7"/>
    <w:basedOn w:val="1"/>
    <w:next w:val="1"/>
    <w:link w:val="31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10">
    <w:name w:val="heading 8"/>
    <w:basedOn w:val="1"/>
    <w:next w:val="1"/>
    <w:link w:val="32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1">
    <w:name w:val="heading 9"/>
    <w:basedOn w:val="1"/>
    <w:next w:val="1"/>
    <w:link w:val="33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Normal Indent"/>
    <w:basedOn w:val="1"/>
    <w:next w:val="1"/>
    <w:qFormat/>
    <w:uiPriority w:val="0"/>
    <w:rPr>
      <w:rFonts w:ascii="Calibri" w:hAnsi="Calibri" w:eastAsia="宋体" w:cs="Times New Roman"/>
    </w:rPr>
  </w:style>
  <w:style w:type="paragraph" w:styleId="1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14">
    <w:name w:val="Plain Text"/>
    <w:basedOn w:val="1"/>
    <w:qFormat/>
    <w:uiPriority w:val="0"/>
    <w:rPr>
      <w:rFonts w:hAnsi="Courier New" w:cs="Times New Roman"/>
      <w:szCs w:val="20"/>
    </w:rPr>
  </w:style>
  <w:style w:type="paragraph" w:styleId="15">
    <w:name w:val="Body Text Indent 2"/>
    <w:basedOn w:val="1"/>
    <w:qFormat/>
    <w:uiPriority w:val="0"/>
    <w:rPr>
      <w:rFonts w:ascii="Arial" w:hAnsi="Arial" w:eastAsia="仿宋_GB2312"/>
      <w:b/>
    </w:rPr>
  </w:style>
  <w:style w:type="paragraph" w:styleId="16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正文-公1"/>
    <w:basedOn w:val="1"/>
    <w:qFormat/>
    <w:uiPriority w:val="0"/>
    <w:pPr>
      <w:ind w:firstLine="200" w:firstLineChars="200"/>
    </w:pPr>
    <w:rPr>
      <w:color w:val="000000"/>
    </w:rPr>
  </w:style>
  <w:style w:type="character" w:customStyle="1" w:styleId="23">
    <w:name w:val="页眉 字符"/>
    <w:basedOn w:val="21"/>
    <w:link w:val="17"/>
    <w:qFormat/>
    <w:uiPriority w:val="99"/>
    <w:rPr>
      <w:sz w:val="18"/>
      <w:szCs w:val="18"/>
    </w:rPr>
  </w:style>
  <w:style w:type="character" w:customStyle="1" w:styleId="24">
    <w:name w:val="页脚 字符"/>
    <w:basedOn w:val="21"/>
    <w:link w:val="16"/>
    <w:qFormat/>
    <w:uiPriority w:val="99"/>
    <w:rPr>
      <w:sz w:val="18"/>
      <w:szCs w:val="18"/>
    </w:rPr>
  </w:style>
  <w:style w:type="character" w:customStyle="1" w:styleId="25">
    <w:name w:val="标题 1 字符"/>
    <w:basedOn w:val="21"/>
    <w:link w:val="3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6">
    <w:name w:val="标题 2 字符"/>
    <w:basedOn w:val="21"/>
    <w:link w:val="4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7">
    <w:name w:val="标题 3 字符"/>
    <w:basedOn w:val="21"/>
    <w:link w:val="5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8">
    <w:name w:val="标题 4 字符"/>
    <w:basedOn w:val="21"/>
    <w:link w:val="6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9">
    <w:name w:val="标题 5 字符"/>
    <w:basedOn w:val="21"/>
    <w:link w:val="7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30">
    <w:name w:val="标题 6 字符"/>
    <w:basedOn w:val="21"/>
    <w:link w:val="8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31">
    <w:name w:val="标题 7 字符"/>
    <w:basedOn w:val="21"/>
    <w:link w:val="9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32">
    <w:name w:val="标题 8 字符"/>
    <w:basedOn w:val="21"/>
    <w:link w:val="10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3">
    <w:name w:val="标题 9 字符"/>
    <w:basedOn w:val="21"/>
    <w:link w:val="11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4">
    <w:name w:val="NormalCharacter"/>
    <w:qFormat/>
    <w:uiPriority w:val="0"/>
  </w:style>
  <w:style w:type="paragraph" w:customStyle="1" w:styleId="35">
    <w:name w:val="B表格正文"/>
    <w:basedOn w:val="1"/>
    <w:qFormat/>
    <w:uiPriority w:val="0"/>
    <w:pPr>
      <w:widowControl/>
      <w:jc w:val="left"/>
    </w:pPr>
    <w:rPr>
      <w:rFonts w:ascii="Calibri" w:hAnsi="Calibri" w:eastAsia="黑体" w:cs="Times New Roman"/>
      <w:szCs w:val="21"/>
    </w:rPr>
  </w:style>
  <w:style w:type="paragraph" w:styleId="36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  <w:style w:type="character" w:customStyle="1" w:styleId="37">
    <w:name w:val="标题 2 Char"/>
    <w:link w:val="4"/>
    <w:qFormat/>
    <w:uiPriority w:val="0"/>
    <w:rPr>
      <w:rFonts w:ascii="Arial" w:hAnsi="Arial" w:eastAsia="黑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2395</Words>
  <Characters>2793</Characters>
  <Lines>12</Lines>
  <Paragraphs>3</Paragraphs>
  <TotalTime>8</TotalTime>
  <ScaleCrop>false</ScaleCrop>
  <LinksUpToDate>false</LinksUpToDate>
  <CharactersWithSpaces>2832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广</cp:lastModifiedBy>
  <cp:revision>7</cp:revision>
  <dcterms:created xsi:type="dcterms:W3CDTF">2023-09-11T06:44:00Z</dcterms:created>
  <dcterms:modified xsi:type="dcterms:W3CDTF">2024-11-13T00:10:51Z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84A69B7C42C0420DB9D45F9E61F31D25_13</vt:lpwstr>
  </property>
</Properties>
</file>