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14A379B0">
      <w:pPr>
        <w:jc w:val="center"/>
        <w:rPr>
          <w:rFonts w:asciiTheme="minorEastAsia" w:hAnsiTheme="minorEastAsia"/>
          <w:b/>
          <w:bCs/>
          <w:sz w:val="32"/>
          <w:szCs w:val="32"/>
        </w:rPr>
      </w:pPr>
      <w:r>
        <w:rPr>
          <w:rFonts w:hint="eastAsia" w:asciiTheme="minorEastAsia" w:hAnsiTheme="minorEastAsia"/>
          <w:b/>
          <w:bCs/>
          <w:sz w:val="32"/>
          <w:szCs w:val="32"/>
          <w:lang w:val="en-US" w:eastAsia="zh-CN"/>
        </w:rPr>
        <w:t>日志审计设备采购</w:t>
      </w:r>
      <w:r>
        <w:rPr>
          <w:rFonts w:hint="eastAsia" w:asciiTheme="minorEastAsia" w:hAnsiTheme="minorEastAsia"/>
          <w:b/>
          <w:bCs/>
          <w:sz w:val="32"/>
          <w:szCs w:val="32"/>
        </w:rPr>
        <w:t>市场调研公告</w:t>
      </w:r>
    </w:p>
    <w:p w14:paraId="67D36BAE">
      <w:pPr>
        <w:pStyle w:val="15"/>
        <w:rPr>
          <w:rFonts w:hint="eastAsia"/>
        </w:rPr>
      </w:pPr>
    </w:p>
    <w:p w14:paraId="5E800AF6">
      <w:pPr>
        <w:spacing w:line="360" w:lineRule="auto"/>
        <w:ind w:firstLine="480" w:firstLineChars="200"/>
        <w:rPr>
          <w:rFonts w:hint="eastAsia" w:ascii="宋体" w:hAnsi="宋体" w:cs="宋体"/>
          <w:kern w:val="0"/>
          <w:sz w:val="24"/>
        </w:rPr>
      </w:pPr>
      <w:r>
        <w:rPr>
          <w:rFonts w:hint="eastAsia" w:ascii="宋体" w:hAnsi="宋体" w:cs="宋体"/>
          <w:kern w:val="0"/>
          <w:sz w:val="24"/>
        </w:rPr>
        <w:t>丽水市中心医院因业务发展需要，需采购</w:t>
      </w:r>
      <w:r>
        <w:rPr>
          <w:rFonts w:hint="eastAsia" w:ascii="宋体" w:hAnsi="宋体" w:cs="宋体"/>
          <w:kern w:val="0"/>
          <w:sz w:val="24"/>
          <w:lang w:val="en-US" w:eastAsia="zh-CN"/>
        </w:rPr>
        <w:t>日志审计设备</w:t>
      </w:r>
      <w:r>
        <w:rPr>
          <w:rFonts w:hint="eastAsia" w:ascii="宋体" w:hAnsi="宋体" w:cs="宋体"/>
          <w:kern w:val="0"/>
          <w:sz w:val="24"/>
        </w:rPr>
        <w:t>，现进行市场调研，欢迎有投标意向且符合资质要求的供应商前来参加。</w:t>
      </w:r>
    </w:p>
    <w:p w14:paraId="713157C8">
      <w:pPr>
        <w:keepNext w:val="0"/>
        <w:keepLines w:val="0"/>
        <w:pageBreakBefore w:val="0"/>
        <w:widowControl w:val="0"/>
        <w:numPr>
          <w:ilvl w:val="0"/>
          <w:numId w:val="2"/>
        </w:numPr>
        <w:kinsoku/>
        <w:wordWrap/>
        <w:overflowPunct/>
        <w:topLinePunct w:val="0"/>
        <w:autoSpaceDE/>
        <w:autoSpaceDN/>
        <w:bidi w:val="0"/>
        <w:adjustRightInd/>
        <w:snapToGrid/>
        <w:spacing w:line="480" w:lineRule="auto"/>
        <w:textAlignment w:val="auto"/>
        <w:rPr>
          <w:rFonts w:hint="eastAsia" w:asciiTheme="minorEastAsia" w:hAnsiTheme="minorEastAsia"/>
          <w:b/>
          <w:bCs/>
          <w:sz w:val="24"/>
          <w:szCs w:val="24"/>
        </w:rPr>
      </w:pPr>
      <w:r>
        <w:rPr>
          <w:rFonts w:hint="eastAsia" w:asciiTheme="minorEastAsia" w:hAnsiTheme="minorEastAsia"/>
          <w:b/>
          <w:bCs/>
          <w:sz w:val="24"/>
          <w:szCs w:val="24"/>
        </w:rPr>
        <w:t>项目</w:t>
      </w:r>
      <w:r>
        <w:rPr>
          <w:rFonts w:hint="eastAsia" w:asciiTheme="minorEastAsia" w:hAnsiTheme="minorEastAsia"/>
          <w:b/>
          <w:bCs/>
          <w:sz w:val="24"/>
          <w:szCs w:val="24"/>
          <w:lang w:val="en-US" w:eastAsia="zh-CN"/>
        </w:rPr>
        <w:t>内容</w:t>
      </w:r>
    </w:p>
    <w:tbl>
      <w:tblPr>
        <w:tblStyle w:val="20"/>
        <w:tblW w:w="4998" w:type="pct"/>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105"/>
        <w:gridCol w:w="2306"/>
        <w:gridCol w:w="932"/>
        <w:gridCol w:w="2088"/>
        <w:gridCol w:w="2088"/>
      </w:tblGrid>
      <w:tr w14:paraId="0792A95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24" w:hRule="atLeast"/>
          <w:jc w:val="center"/>
        </w:trPr>
        <w:tc>
          <w:tcPr>
            <w:tcW w:w="1105" w:type="dxa"/>
            <w:vAlign w:val="center"/>
          </w:tcPr>
          <w:p w14:paraId="0D017A63">
            <w:pPr>
              <w:keepNext w:val="0"/>
              <w:keepLines w:val="0"/>
              <w:pageBreakBefore w:val="0"/>
              <w:widowControl w:val="0"/>
              <w:kinsoku/>
              <w:wordWrap/>
              <w:overflowPunct/>
              <w:topLinePunct w:val="0"/>
              <w:autoSpaceDE/>
              <w:autoSpaceDN/>
              <w:bidi w:val="0"/>
              <w:adjustRightInd/>
              <w:snapToGrid/>
              <w:spacing w:line="360" w:lineRule="auto"/>
              <w:jc w:val="center"/>
              <w:textAlignment w:val="auto"/>
              <w:rPr>
                <w:rFonts w:hint="eastAsia" w:asciiTheme="minorEastAsia" w:hAnsiTheme="minorEastAsia"/>
                <w:sz w:val="24"/>
                <w:szCs w:val="24"/>
              </w:rPr>
            </w:pPr>
            <w:r>
              <w:rPr>
                <w:rFonts w:hint="eastAsia" w:asciiTheme="minorEastAsia" w:hAnsiTheme="minorEastAsia"/>
                <w:sz w:val="24"/>
                <w:szCs w:val="24"/>
              </w:rPr>
              <w:t>序号</w:t>
            </w:r>
          </w:p>
        </w:tc>
        <w:tc>
          <w:tcPr>
            <w:tcW w:w="2306" w:type="dxa"/>
            <w:vAlign w:val="center"/>
          </w:tcPr>
          <w:p w14:paraId="0CC0DCA5">
            <w:pPr>
              <w:keepNext w:val="0"/>
              <w:keepLines w:val="0"/>
              <w:pageBreakBefore w:val="0"/>
              <w:widowControl w:val="0"/>
              <w:kinsoku/>
              <w:wordWrap/>
              <w:overflowPunct/>
              <w:topLinePunct w:val="0"/>
              <w:autoSpaceDE/>
              <w:autoSpaceDN/>
              <w:bidi w:val="0"/>
              <w:adjustRightInd/>
              <w:snapToGrid/>
              <w:spacing w:line="360" w:lineRule="auto"/>
              <w:jc w:val="center"/>
              <w:textAlignment w:val="auto"/>
              <w:rPr>
                <w:rFonts w:hint="eastAsia" w:asciiTheme="minorEastAsia" w:hAnsiTheme="minorEastAsia"/>
                <w:sz w:val="24"/>
                <w:szCs w:val="24"/>
              </w:rPr>
            </w:pPr>
            <w:r>
              <w:rPr>
                <w:rFonts w:hint="eastAsia" w:asciiTheme="minorEastAsia" w:hAnsiTheme="minorEastAsia"/>
                <w:sz w:val="24"/>
                <w:szCs w:val="24"/>
              </w:rPr>
              <w:t>项目名称</w:t>
            </w:r>
          </w:p>
        </w:tc>
        <w:tc>
          <w:tcPr>
            <w:tcW w:w="932" w:type="dxa"/>
            <w:vAlign w:val="center"/>
          </w:tcPr>
          <w:p w14:paraId="5DDD4DA7">
            <w:pPr>
              <w:keepNext w:val="0"/>
              <w:keepLines w:val="0"/>
              <w:pageBreakBefore w:val="0"/>
              <w:widowControl w:val="0"/>
              <w:kinsoku/>
              <w:wordWrap/>
              <w:overflowPunct/>
              <w:topLinePunct w:val="0"/>
              <w:autoSpaceDE/>
              <w:autoSpaceDN/>
              <w:bidi w:val="0"/>
              <w:adjustRightInd/>
              <w:snapToGrid/>
              <w:spacing w:line="360" w:lineRule="auto"/>
              <w:jc w:val="center"/>
              <w:textAlignment w:val="auto"/>
              <w:rPr>
                <w:rFonts w:hint="eastAsia" w:asciiTheme="minorEastAsia" w:hAnsiTheme="minorEastAsia"/>
                <w:sz w:val="24"/>
                <w:szCs w:val="24"/>
              </w:rPr>
            </w:pPr>
            <w:r>
              <w:rPr>
                <w:rFonts w:hint="eastAsia" w:asciiTheme="minorEastAsia" w:hAnsiTheme="minorEastAsia"/>
                <w:sz w:val="24"/>
                <w:szCs w:val="24"/>
              </w:rPr>
              <w:t>单位</w:t>
            </w:r>
          </w:p>
        </w:tc>
        <w:tc>
          <w:tcPr>
            <w:tcW w:w="2088" w:type="dxa"/>
            <w:vAlign w:val="center"/>
          </w:tcPr>
          <w:p w14:paraId="0DF8E3DA">
            <w:pPr>
              <w:keepNext w:val="0"/>
              <w:keepLines w:val="0"/>
              <w:pageBreakBefore w:val="0"/>
              <w:widowControl w:val="0"/>
              <w:kinsoku/>
              <w:wordWrap/>
              <w:overflowPunct/>
              <w:topLinePunct w:val="0"/>
              <w:autoSpaceDE/>
              <w:autoSpaceDN/>
              <w:bidi w:val="0"/>
              <w:adjustRightInd/>
              <w:snapToGrid/>
              <w:spacing w:line="360" w:lineRule="auto"/>
              <w:jc w:val="center"/>
              <w:textAlignment w:val="auto"/>
              <w:rPr>
                <w:rFonts w:hint="eastAsia" w:asciiTheme="minorEastAsia" w:hAnsiTheme="minorEastAsia"/>
                <w:sz w:val="24"/>
                <w:szCs w:val="24"/>
              </w:rPr>
            </w:pPr>
            <w:r>
              <w:rPr>
                <w:rFonts w:hint="eastAsia" w:asciiTheme="minorEastAsia" w:hAnsiTheme="minorEastAsia"/>
                <w:sz w:val="24"/>
                <w:szCs w:val="24"/>
              </w:rPr>
              <w:t>数量</w:t>
            </w:r>
          </w:p>
        </w:tc>
        <w:tc>
          <w:tcPr>
            <w:tcW w:w="2088" w:type="dxa"/>
            <w:vAlign w:val="center"/>
          </w:tcPr>
          <w:p w14:paraId="57B16D4B">
            <w:pPr>
              <w:keepNext w:val="0"/>
              <w:keepLines w:val="0"/>
              <w:pageBreakBefore w:val="0"/>
              <w:widowControl w:val="0"/>
              <w:kinsoku/>
              <w:wordWrap/>
              <w:overflowPunct/>
              <w:topLinePunct w:val="0"/>
              <w:autoSpaceDE/>
              <w:autoSpaceDN/>
              <w:bidi w:val="0"/>
              <w:adjustRightInd/>
              <w:snapToGrid/>
              <w:spacing w:line="360" w:lineRule="auto"/>
              <w:jc w:val="center"/>
              <w:textAlignment w:val="auto"/>
              <w:rPr>
                <w:rFonts w:hint="eastAsia" w:asciiTheme="minorEastAsia" w:hAnsiTheme="minorEastAsia"/>
                <w:sz w:val="24"/>
                <w:szCs w:val="24"/>
              </w:rPr>
            </w:pPr>
            <w:r>
              <w:rPr>
                <w:rFonts w:hint="eastAsia" w:ascii="宋体" w:hAnsi="宋体"/>
                <w:sz w:val="24"/>
              </w:rPr>
              <w:t>参数</w:t>
            </w:r>
            <w:r>
              <w:rPr>
                <w:rFonts w:ascii="宋体" w:hAnsi="宋体"/>
                <w:sz w:val="24"/>
              </w:rPr>
              <w:t>要求</w:t>
            </w:r>
          </w:p>
        </w:tc>
      </w:tr>
      <w:tr w14:paraId="6300BB4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5" w:hRule="atLeast"/>
          <w:jc w:val="center"/>
        </w:trPr>
        <w:tc>
          <w:tcPr>
            <w:tcW w:w="1105" w:type="dxa"/>
            <w:vAlign w:val="center"/>
          </w:tcPr>
          <w:p w14:paraId="4ABF62DB">
            <w:pPr>
              <w:keepNext w:val="0"/>
              <w:keepLines w:val="0"/>
              <w:pageBreakBefore w:val="0"/>
              <w:widowControl w:val="0"/>
              <w:kinsoku/>
              <w:wordWrap/>
              <w:overflowPunct/>
              <w:topLinePunct w:val="0"/>
              <w:autoSpaceDE/>
              <w:autoSpaceDN/>
              <w:bidi w:val="0"/>
              <w:adjustRightInd/>
              <w:snapToGrid/>
              <w:spacing w:line="360" w:lineRule="auto"/>
              <w:jc w:val="center"/>
              <w:textAlignment w:val="auto"/>
              <w:rPr>
                <w:rFonts w:hint="eastAsia" w:asciiTheme="minorEastAsia" w:hAnsiTheme="minorEastAsia"/>
                <w:sz w:val="24"/>
                <w:szCs w:val="24"/>
              </w:rPr>
            </w:pPr>
            <w:r>
              <w:rPr>
                <w:rFonts w:hint="eastAsia" w:asciiTheme="minorEastAsia" w:hAnsiTheme="minorEastAsia"/>
                <w:sz w:val="24"/>
                <w:szCs w:val="24"/>
              </w:rPr>
              <w:t>1</w:t>
            </w:r>
          </w:p>
        </w:tc>
        <w:tc>
          <w:tcPr>
            <w:tcW w:w="2306" w:type="dxa"/>
            <w:vAlign w:val="center"/>
          </w:tcPr>
          <w:p w14:paraId="2B40471F">
            <w:pPr>
              <w:keepNext w:val="0"/>
              <w:keepLines w:val="0"/>
              <w:pageBreakBefore w:val="0"/>
              <w:widowControl w:val="0"/>
              <w:kinsoku/>
              <w:wordWrap/>
              <w:overflowPunct/>
              <w:topLinePunct w:val="0"/>
              <w:autoSpaceDE/>
              <w:autoSpaceDN/>
              <w:bidi w:val="0"/>
              <w:adjustRightInd/>
              <w:snapToGrid/>
              <w:spacing w:line="360" w:lineRule="auto"/>
              <w:jc w:val="center"/>
              <w:textAlignment w:val="auto"/>
              <w:rPr>
                <w:rFonts w:hint="default" w:asciiTheme="minorEastAsia" w:hAnsiTheme="minorEastAsia" w:eastAsiaTheme="minorEastAsia"/>
                <w:sz w:val="24"/>
                <w:szCs w:val="24"/>
                <w:lang w:val="en-US" w:eastAsia="zh-CN"/>
              </w:rPr>
            </w:pPr>
            <w:r>
              <w:rPr>
                <w:rFonts w:hint="eastAsia" w:asciiTheme="minorEastAsia" w:hAnsiTheme="minorEastAsia"/>
                <w:sz w:val="24"/>
                <w:szCs w:val="24"/>
                <w:lang w:val="en-US" w:eastAsia="zh-CN"/>
              </w:rPr>
              <w:t>日志审计设备</w:t>
            </w:r>
          </w:p>
        </w:tc>
        <w:tc>
          <w:tcPr>
            <w:tcW w:w="932" w:type="dxa"/>
            <w:vAlign w:val="center"/>
          </w:tcPr>
          <w:p w14:paraId="5BF548C0">
            <w:pPr>
              <w:keepNext w:val="0"/>
              <w:keepLines w:val="0"/>
              <w:pageBreakBefore w:val="0"/>
              <w:widowControl w:val="0"/>
              <w:kinsoku/>
              <w:wordWrap/>
              <w:overflowPunct/>
              <w:topLinePunct w:val="0"/>
              <w:autoSpaceDE/>
              <w:autoSpaceDN/>
              <w:bidi w:val="0"/>
              <w:adjustRightInd/>
              <w:snapToGrid/>
              <w:spacing w:line="360" w:lineRule="auto"/>
              <w:jc w:val="center"/>
              <w:textAlignment w:val="auto"/>
              <w:rPr>
                <w:rFonts w:hint="eastAsia" w:asciiTheme="minorEastAsia" w:hAnsiTheme="minorEastAsia"/>
                <w:sz w:val="24"/>
                <w:szCs w:val="24"/>
              </w:rPr>
            </w:pPr>
            <w:r>
              <w:rPr>
                <w:rFonts w:hint="eastAsia" w:asciiTheme="minorEastAsia" w:hAnsiTheme="minorEastAsia"/>
                <w:sz w:val="24"/>
                <w:szCs w:val="24"/>
              </w:rPr>
              <w:t>项</w:t>
            </w:r>
          </w:p>
        </w:tc>
        <w:tc>
          <w:tcPr>
            <w:tcW w:w="2088" w:type="dxa"/>
            <w:vAlign w:val="center"/>
          </w:tcPr>
          <w:p w14:paraId="6BF4DB71">
            <w:pPr>
              <w:keepNext w:val="0"/>
              <w:keepLines w:val="0"/>
              <w:pageBreakBefore w:val="0"/>
              <w:widowControl w:val="0"/>
              <w:kinsoku/>
              <w:wordWrap/>
              <w:overflowPunct/>
              <w:topLinePunct w:val="0"/>
              <w:autoSpaceDE/>
              <w:autoSpaceDN/>
              <w:bidi w:val="0"/>
              <w:adjustRightInd/>
              <w:snapToGrid/>
              <w:spacing w:line="360" w:lineRule="auto"/>
              <w:jc w:val="center"/>
              <w:textAlignment w:val="auto"/>
              <w:rPr>
                <w:rFonts w:hint="eastAsia" w:asciiTheme="minorEastAsia" w:hAnsiTheme="minorEastAsia"/>
                <w:sz w:val="24"/>
                <w:szCs w:val="24"/>
              </w:rPr>
            </w:pPr>
            <w:r>
              <w:rPr>
                <w:rFonts w:hint="eastAsia" w:asciiTheme="minorEastAsia" w:hAnsiTheme="minorEastAsia"/>
                <w:sz w:val="24"/>
                <w:szCs w:val="24"/>
              </w:rPr>
              <w:t>1</w:t>
            </w:r>
          </w:p>
        </w:tc>
        <w:tc>
          <w:tcPr>
            <w:tcW w:w="2088" w:type="dxa"/>
            <w:vAlign w:val="center"/>
          </w:tcPr>
          <w:p w14:paraId="13EE9C24">
            <w:pPr>
              <w:keepNext w:val="0"/>
              <w:keepLines w:val="0"/>
              <w:pageBreakBefore w:val="0"/>
              <w:widowControl w:val="0"/>
              <w:kinsoku/>
              <w:wordWrap/>
              <w:overflowPunct/>
              <w:topLinePunct w:val="0"/>
              <w:autoSpaceDE/>
              <w:autoSpaceDN/>
              <w:bidi w:val="0"/>
              <w:adjustRightInd/>
              <w:snapToGrid/>
              <w:spacing w:line="360" w:lineRule="auto"/>
              <w:jc w:val="center"/>
              <w:textAlignment w:val="auto"/>
              <w:rPr>
                <w:rFonts w:hint="eastAsia" w:asciiTheme="minorEastAsia" w:hAnsiTheme="minorEastAsia"/>
                <w:sz w:val="24"/>
                <w:szCs w:val="24"/>
              </w:rPr>
            </w:pPr>
            <w:r>
              <w:rPr>
                <w:rFonts w:hint="eastAsia" w:ascii="宋体" w:hAnsi="宋体" w:cs="宋体"/>
                <w:kern w:val="0"/>
                <w:sz w:val="24"/>
                <w:highlight w:val="none"/>
                <w:lang w:val="en-US" w:eastAsia="zh-CN"/>
              </w:rPr>
              <w:t>见附件一</w:t>
            </w:r>
          </w:p>
        </w:tc>
      </w:tr>
    </w:tbl>
    <w:p w14:paraId="4495353E">
      <w:pPr>
        <w:keepNext w:val="0"/>
        <w:keepLines w:val="0"/>
        <w:pageBreakBefore w:val="0"/>
        <w:widowControl w:val="0"/>
        <w:numPr>
          <w:ilvl w:val="0"/>
          <w:numId w:val="2"/>
        </w:numPr>
        <w:kinsoku/>
        <w:wordWrap/>
        <w:overflowPunct/>
        <w:topLinePunct w:val="0"/>
        <w:autoSpaceDE/>
        <w:autoSpaceDN/>
        <w:bidi w:val="0"/>
        <w:adjustRightInd/>
        <w:snapToGrid/>
        <w:spacing w:line="480" w:lineRule="auto"/>
        <w:textAlignment w:val="auto"/>
        <w:rPr>
          <w:rFonts w:hint="eastAsia" w:cs="微软雅黑" w:asciiTheme="minorEastAsia" w:hAnsiTheme="minorEastAsia"/>
          <w:b/>
          <w:bCs/>
          <w:sz w:val="28"/>
          <w:szCs w:val="28"/>
        </w:rPr>
      </w:pPr>
      <w:r>
        <w:rPr>
          <w:rFonts w:hint="eastAsia" w:ascii="宋体" w:hAnsi="宋体" w:eastAsia="宋体" w:cs="宋体"/>
          <w:b/>
          <w:sz w:val="24"/>
          <w:szCs w:val="24"/>
        </w:rPr>
        <w:t>请有意向的公司按以下要求制作投标资料（一正一副）</w:t>
      </w:r>
    </w:p>
    <w:p w14:paraId="71921710">
      <w:pPr>
        <w:pStyle w:val="18"/>
        <w:shd w:val="clear" w:color="auto" w:fill="FFFFFF"/>
        <w:spacing w:before="0" w:beforeAutospacing="0" w:after="0" w:afterAutospacing="0" w:line="360" w:lineRule="auto"/>
        <w:ind w:left="375" w:firstLine="120" w:firstLineChars="50"/>
        <w:jc w:val="both"/>
        <w:rPr>
          <w:rFonts w:hint="eastAsia" w:ascii="宋体" w:hAnsi="宋体" w:eastAsia="宋体" w:cs="宋体"/>
          <w:sz w:val="24"/>
          <w:szCs w:val="24"/>
        </w:rPr>
      </w:pPr>
      <w:r>
        <w:rPr>
          <w:rStyle w:val="34"/>
          <w:rFonts w:hint="eastAsia" w:ascii="宋体" w:hAnsi="宋体" w:eastAsia="宋体" w:cs="宋体"/>
          <w:kern w:val="2"/>
          <w:sz w:val="24"/>
          <w:szCs w:val="24"/>
        </w:rPr>
        <w:t>1</w:t>
      </w:r>
      <w:r>
        <w:rPr>
          <w:rStyle w:val="34"/>
          <w:rFonts w:hint="eastAsia" w:cs="宋体"/>
          <w:kern w:val="2"/>
          <w:sz w:val="24"/>
          <w:szCs w:val="24"/>
          <w:lang w:eastAsia="zh-CN"/>
        </w:rPr>
        <w:t>、</w:t>
      </w:r>
      <w:r>
        <w:rPr>
          <w:rFonts w:hint="eastAsia"/>
        </w:rPr>
        <w:t>单位营业执照复印件、法人身份证复印件</w:t>
      </w:r>
    </w:p>
    <w:p w14:paraId="0C8BC4EA">
      <w:pPr>
        <w:pStyle w:val="18"/>
        <w:shd w:val="clear" w:color="auto" w:fill="FFFFFF"/>
        <w:spacing w:before="0" w:beforeAutospacing="0" w:after="0" w:afterAutospacing="0" w:line="360" w:lineRule="auto"/>
        <w:ind w:left="375" w:firstLine="120" w:firstLineChars="50"/>
        <w:jc w:val="both"/>
        <w:rPr>
          <w:rFonts w:hint="eastAsia" w:ascii="宋体" w:hAnsi="宋体" w:eastAsia="宋体" w:cs="宋体"/>
          <w:sz w:val="24"/>
          <w:szCs w:val="24"/>
        </w:rPr>
      </w:pPr>
      <w:r>
        <w:rPr>
          <w:rFonts w:hint="eastAsia" w:ascii="宋体" w:hAnsi="宋体" w:eastAsia="宋体" w:cs="宋体"/>
          <w:sz w:val="24"/>
          <w:szCs w:val="24"/>
        </w:rPr>
        <w:t>2</w:t>
      </w:r>
      <w:r>
        <w:rPr>
          <w:rFonts w:hint="eastAsia" w:cs="宋体"/>
          <w:sz w:val="24"/>
          <w:szCs w:val="24"/>
          <w:lang w:eastAsia="zh-CN"/>
        </w:rPr>
        <w:t>、</w:t>
      </w:r>
      <w:r>
        <w:rPr>
          <w:rFonts w:hint="default"/>
          <w:lang w:val="en-US" w:eastAsia="zh-CN"/>
        </w:rPr>
        <w:t>非法人本人参会的，须提供委托书原件及受委托人身份证复印件</w:t>
      </w:r>
    </w:p>
    <w:p w14:paraId="690E0179">
      <w:pPr>
        <w:pStyle w:val="18"/>
        <w:shd w:val="clear" w:color="auto" w:fill="FFFFFF"/>
        <w:spacing w:before="0" w:beforeAutospacing="0" w:after="0" w:afterAutospacing="0" w:line="360" w:lineRule="auto"/>
        <w:ind w:left="375" w:firstLine="120" w:firstLineChars="50"/>
        <w:jc w:val="both"/>
        <w:rPr>
          <w:rFonts w:hint="eastAsia" w:ascii="宋体" w:hAnsi="宋体" w:eastAsia="宋体" w:cs="宋体"/>
          <w:sz w:val="24"/>
          <w:szCs w:val="24"/>
        </w:rPr>
      </w:pPr>
      <w:r>
        <w:rPr>
          <w:rFonts w:hint="eastAsia" w:ascii="宋体" w:hAnsi="宋体" w:eastAsia="宋体" w:cs="宋体"/>
          <w:sz w:val="24"/>
          <w:szCs w:val="24"/>
        </w:rPr>
        <w:t>3</w:t>
      </w:r>
      <w:r>
        <w:rPr>
          <w:rFonts w:hint="eastAsia" w:cs="宋体"/>
          <w:sz w:val="24"/>
          <w:szCs w:val="24"/>
          <w:lang w:eastAsia="zh-CN"/>
        </w:rPr>
        <w:t>、</w:t>
      </w:r>
      <w:r>
        <w:rPr>
          <w:rFonts w:hint="eastAsia"/>
        </w:rPr>
        <w:t>产品</w:t>
      </w:r>
      <w:r>
        <w:t>介绍</w:t>
      </w:r>
    </w:p>
    <w:p w14:paraId="595B6F33">
      <w:pPr>
        <w:pStyle w:val="18"/>
        <w:shd w:val="clear" w:color="auto" w:fill="FFFFFF"/>
        <w:spacing w:before="0" w:beforeAutospacing="0" w:after="0" w:afterAutospacing="0" w:line="360" w:lineRule="auto"/>
        <w:ind w:firstLine="480" w:firstLineChars="200"/>
        <w:jc w:val="both"/>
        <w:rPr>
          <w:rFonts w:hint="eastAsia" w:ascii="宋体" w:hAnsi="宋体" w:eastAsia="宋体" w:cs="宋体"/>
          <w:sz w:val="24"/>
          <w:szCs w:val="24"/>
        </w:rPr>
      </w:pPr>
      <w:r>
        <w:rPr>
          <w:rFonts w:hint="eastAsia" w:ascii="宋体" w:hAnsi="宋体" w:eastAsia="宋体" w:cs="宋体"/>
          <w:sz w:val="24"/>
          <w:szCs w:val="24"/>
        </w:rPr>
        <w:t>4</w:t>
      </w:r>
      <w:r>
        <w:rPr>
          <w:rFonts w:hint="eastAsia" w:cs="宋体"/>
          <w:sz w:val="24"/>
          <w:szCs w:val="24"/>
          <w:lang w:eastAsia="zh-CN"/>
        </w:rPr>
        <w:t>、</w:t>
      </w:r>
      <w:r>
        <w:rPr>
          <w:rFonts w:hint="eastAsia" w:ascii="宋体" w:hAnsi="宋体" w:eastAsia="宋体" w:cs="宋体"/>
          <w:sz w:val="24"/>
          <w:szCs w:val="24"/>
        </w:rPr>
        <w:t>投标单位认为需要提供的其他材料（包</w:t>
      </w:r>
      <w:bookmarkStart w:id="1" w:name="_GoBack"/>
      <w:bookmarkEnd w:id="1"/>
      <w:r>
        <w:rPr>
          <w:rFonts w:hint="eastAsia" w:ascii="宋体" w:hAnsi="宋体" w:eastAsia="宋体" w:cs="宋体"/>
          <w:sz w:val="24"/>
          <w:szCs w:val="24"/>
        </w:rPr>
        <w:t>括服务承诺和经营业绩以及相关证明材料等）</w:t>
      </w:r>
    </w:p>
    <w:p w14:paraId="23C5D51D">
      <w:pPr>
        <w:spacing w:line="360" w:lineRule="auto"/>
        <w:ind w:firstLine="480" w:firstLineChars="200"/>
        <w:rPr>
          <w:rFonts w:hint="eastAsia" w:ascii="宋体" w:hAnsi="宋体" w:eastAsia="宋体" w:cs="宋体"/>
          <w:sz w:val="24"/>
          <w:szCs w:val="24"/>
        </w:rPr>
      </w:pPr>
      <w:r>
        <w:rPr>
          <w:rFonts w:hint="eastAsia" w:ascii="宋体" w:hAnsi="宋体" w:eastAsia="宋体" w:cs="宋体"/>
          <w:sz w:val="24"/>
          <w:szCs w:val="24"/>
        </w:rPr>
        <w:t>5</w:t>
      </w:r>
      <w:r>
        <w:rPr>
          <w:rFonts w:hint="eastAsia" w:ascii="宋体" w:hAnsi="宋体" w:eastAsia="宋体" w:cs="宋体"/>
          <w:sz w:val="24"/>
          <w:szCs w:val="24"/>
          <w:lang w:eastAsia="zh-CN"/>
        </w:rPr>
        <w:t>、</w:t>
      </w:r>
      <w:r>
        <w:rPr>
          <w:rFonts w:hint="eastAsia" w:ascii="宋体" w:hAnsi="宋体" w:eastAsia="宋体" w:cs="宋体"/>
          <w:sz w:val="24"/>
          <w:szCs w:val="24"/>
        </w:rPr>
        <w:t>报价单</w:t>
      </w:r>
    </w:p>
    <w:p w14:paraId="778D8E5A">
      <w:pPr>
        <w:spacing w:line="360" w:lineRule="auto"/>
        <w:ind w:firstLine="480" w:firstLineChars="200"/>
        <w:rPr>
          <w:rFonts w:hint="eastAsia" w:ascii="宋体" w:hAnsi="宋体" w:eastAsia="宋体" w:cs="宋体"/>
          <w:sz w:val="24"/>
          <w:szCs w:val="24"/>
        </w:rPr>
      </w:pPr>
      <w:r>
        <w:rPr>
          <w:rFonts w:hint="eastAsia" w:ascii="宋体" w:hAnsi="宋体" w:eastAsia="宋体" w:cs="宋体"/>
          <w:sz w:val="24"/>
          <w:szCs w:val="24"/>
        </w:rPr>
        <w:t>以上所有资料均须加盖公司红章，装订成册密封包装，包装袋上注明联系人信息。请有意向的公司于2024年1</w:t>
      </w:r>
      <w:r>
        <w:rPr>
          <w:rFonts w:hint="eastAsia" w:ascii="宋体" w:hAnsi="宋体" w:eastAsia="宋体" w:cs="宋体"/>
          <w:sz w:val="24"/>
          <w:szCs w:val="24"/>
          <w:lang w:val="en-US" w:eastAsia="zh-CN"/>
        </w:rPr>
        <w:t>1</w:t>
      </w:r>
      <w:r>
        <w:rPr>
          <w:rFonts w:hint="eastAsia" w:ascii="宋体" w:hAnsi="宋体" w:eastAsia="宋体" w:cs="宋体"/>
          <w:sz w:val="24"/>
          <w:szCs w:val="24"/>
        </w:rPr>
        <w:t>月</w:t>
      </w:r>
      <w:r>
        <w:rPr>
          <w:rFonts w:hint="eastAsia" w:ascii="宋体" w:hAnsi="宋体" w:eastAsia="宋体" w:cs="宋体"/>
          <w:sz w:val="24"/>
          <w:szCs w:val="24"/>
          <w:lang w:val="en-US" w:eastAsia="zh-CN"/>
        </w:rPr>
        <w:t>20</w:t>
      </w:r>
      <w:r>
        <w:rPr>
          <w:rFonts w:hint="eastAsia" w:ascii="宋体" w:hAnsi="宋体" w:eastAsia="宋体" w:cs="宋体"/>
          <w:sz w:val="24"/>
          <w:szCs w:val="24"/>
        </w:rPr>
        <w:t>日17：00 前将调研资料邮寄或送至丽水市中心医院采购中心。</w:t>
      </w:r>
    </w:p>
    <w:p w14:paraId="31FD6CA7">
      <w:pPr>
        <w:spacing w:line="360" w:lineRule="auto"/>
        <w:ind w:firstLine="480" w:firstLineChars="200"/>
        <w:rPr>
          <w:rFonts w:hint="eastAsia" w:ascii="宋体" w:hAnsi="宋体" w:eastAsia="宋体" w:cs="宋体"/>
          <w:sz w:val="24"/>
          <w:szCs w:val="24"/>
        </w:rPr>
      </w:pPr>
      <w:r>
        <w:rPr>
          <w:rFonts w:hint="eastAsia" w:ascii="宋体" w:hAnsi="宋体" w:eastAsia="宋体" w:cs="宋体"/>
          <w:sz w:val="24"/>
          <w:szCs w:val="24"/>
        </w:rPr>
        <w:t>洽谈时间另行通知。</w:t>
      </w:r>
    </w:p>
    <w:p w14:paraId="623DFEC2">
      <w:pPr>
        <w:spacing w:line="360" w:lineRule="auto"/>
        <w:ind w:firstLine="480" w:firstLineChars="200"/>
        <w:rPr>
          <w:rFonts w:hint="default" w:ascii="宋体" w:hAnsi="宋体" w:eastAsia="宋体" w:cs="宋体"/>
          <w:sz w:val="24"/>
          <w:szCs w:val="24"/>
          <w:lang w:val="en-US" w:eastAsia="zh-CN"/>
        </w:rPr>
      </w:pPr>
      <w:r>
        <w:rPr>
          <w:rFonts w:hint="eastAsia" w:ascii="宋体" w:hAnsi="宋体" w:eastAsia="宋体" w:cs="宋体"/>
          <w:sz w:val="24"/>
          <w:szCs w:val="24"/>
        </w:rPr>
        <w:t>商务咨询：采购中心 苏老师 电话:0578-22854</w:t>
      </w:r>
      <w:r>
        <w:rPr>
          <w:rFonts w:hint="eastAsia" w:ascii="宋体" w:hAnsi="宋体" w:eastAsia="宋体" w:cs="宋体"/>
          <w:sz w:val="24"/>
          <w:szCs w:val="24"/>
          <w:lang w:val="en-US" w:eastAsia="zh-CN"/>
        </w:rPr>
        <w:t>70</w:t>
      </w:r>
    </w:p>
    <w:p w14:paraId="7F634C3D">
      <w:pPr>
        <w:pStyle w:val="15"/>
        <w:rPr>
          <w:rFonts w:hint="eastAsia" w:ascii="宋体" w:hAnsi="宋体" w:eastAsia="宋体" w:cs="宋体"/>
          <w:sz w:val="24"/>
          <w:szCs w:val="24"/>
        </w:rPr>
      </w:pPr>
      <w:r>
        <w:rPr>
          <w:rFonts w:hint="eastAsia" w:ascii="宋体" w:hAnsi="宋体" w:eastAsia="宋体" w:cs="宋体"/>
          <w:sz w:val="24"/>
          <w:szCs w:val="24"/>
        </w:rPr>
        <w:t xml:space="preserve">    </w:t>
      </w:r>
      <w:r>
        <w:rPr>
          <w:rFonts w:hint="eastAsia" w:ascii="宋体" w:hAnsi="宋体" w:eastAsia="宋体" w:cs="宋体"/>
          <w:b w:val="0"/>
          <w:bCs/>
          <w:sz w:val="24"/>
          <w:szCs w:val="24"/>
        </w:rPr>
        <w:t xml:space="preserve">技术咨询：信息中心 </w:t>
      </w:r>
      <w:r>
        <w:rPr>
          <w:rFonts w:hint="eastAsia" w:ascii="宋体" w:hAnsi="宋体" w:eastAsia="宋体" w:cs="宋体"/>
          <w:b w:val="0"/>
          <w:bCs/>
          <w:sz w:val="24"/>
          <w:szCs w:val="24"/>
          <w:lang w:val="en-US" w:eastAsia="zh-CN"/>
        </w:rPr>
        <w:t>蒋</w:t>
      </w:r>
      <w:r>
        <w:rPr>
          <w:rFonts w:hint="eastAsia" w:ascii="宋体" w:hAnsi="宋体" w:eastAsia="宋体" w:cs="宋体"/>
          <w:b w:val="0"/>
          <w:sz w:val="24"/>
          <w:szCs w:val="24"/>
        </w:rPr>
        <w:t>老师 电话:0578-2285458</w:t>
      </w:r>
    </w:p>
    <w:p w14:paraId="1F70B25A">
      <w:pPr>
        <w:spacing w:line="360" w:lineRule="auto"/>
        <w:ind w:firstLine="480" w:firstLineChars="200"/>
        <w:rPr>
          <w:rFonts w:hint="eastAsia" w:ascii="宋体" w:hAnsi="宋体" w:eastAsia="宋体" w:cs="宋体"/>
          <w:sz w:val="24"/>
          <w:szCs w:val="24"/>
        </w:rPr>
      </w:pPr>
      <w:r>
        <w:rPr>
          <w:rFonts w:hint="eastAsia" w:ascii="宋体" w:hAnsi="宋体" w:eastAsia="宋体" w:cs="宋体"/>
          <w:sz w:val="24"/>
          <w:szCs w:val="24"/>
        </w:rPr>
        <w:t>邮编：323000</w:t>
      </w:r>
    </w:p>
    <w:p w14:paraId="4176F9A4">
      <w:pPr>
        <w:spacing w:line="360" w:lineRule="auto"/>
        <w:ind w:firstLine="480" w:firstLineChars="200"/>
        <w:rPr>
          <w:rFonts w:hint="eastAsia" w:ascii="宋体" w:hAnsi="宋体" w:eastAsia="宋体" w:cs="宋体"/>
          <w:sz w:val="24"/>
          <w:szCs w:val="24"/>
        </w:rPr>
      </w:pPr>
      <w:r>
        <w:rPr>
          <w:rFonts w:hint="eastAsia" w:ascii="宋体" w:hAnsi="宋体" w:eastAsia="宋体" w:cs="宋体"/>
          <w:sz w:val="24"/>
          <w:szCs w:val="24"/>
        </w:rPr>
        <w:t>联系地址：浙江省丽水市括苍路289号丽水市中心医院采购中心</w:t>
      </w:r>
    </w:p>
    <w:p w14:paraId="0C53E558">
      <w:pPr>
        <w:spacing w:line="360" w:lineRule="auto"/>
        <w:ind w:firstLine="5040" w:firstLineChars="2100"/>
        <w:rPr>
          <w:rFonts w:hint="eastAsia" w:ascii="宋体" w:hAnsi="宋体" w:eastAsia="宋体" w:cs="宋体"/>
          <w:sz w:val="24"/>
          <w:szCs w:val="24"/>
        </w:rPr>
      </w:pPr>
      <w:r>
        <w:rPr>
          <w:rFonts w:hint="eastAsia" w:ascii="宋体" w:hAnsi="宋体" w:eastAsia="宋体" w:cs="宋体"/>
          <w:sz w:val="24"/>
          <w:szCs w:val="24"/>
        </w:rPr>
        <w:t xml:space="preserve"> 2024年1</w:t>
      </w:r>
      <w:r>
        <w:rPr>
          <w:rFonts w:hint="eastAsia" w:ascii="宋体" w:hAnsi="宋体" w:eastAsia="宋体" w:cs="宋体"/>
          <w:sz w:val="24"/>
          <w:szCs w:val="24"/>
          <w:lang w:val="en-US" w:eastAsia="zh-CN"/>
        </w:rPr>
        <w:t>1</w:t>
      </w:r>
      <w:r>
        <w:rPr>
          <w:rFonts w:hint="eastAsia" w:ascii="宋体" w:hAnsi="宋体" w:eastAsia="宋体" w:cs="宋体"/>
          <w:sz w:val="24"/>
          <w:szCs w:val="24"/>
        </w:rPr>
        <w:t>月 1</w:t>
      </w:r>
      <w:r>
        <w:rPr>
          <w:rFonts w:hint="eastAsia" w:ascii="宋体" w:hAnsi="宋体" w:eastAsia="宋体" w:cs="宋体"/>
          <w:sz w:val="24"/>
          <w:szCs w:val="24"/>
          <w:lang w:val="en-US" w:eastAsia="zh-CN"/>
        </w:rPr>
        <w:t>1</w:t>
      </w:r>
      <w:r>
        <w:rPr>
          <w:rFonts w:hint="eastAsia" w:ascii="宋体" w:hAnsi="宋体" w:eastAsia="宋体" w:cs="宋体"/>
          <w:sz w:val="24"/>
          <w:szCs w:val="24"/>
        </w:rPr>
        <w:t>日</w:t>
      </w:r>
    </w:p>
    <w:p w14:paraId="2392B8F1">
      <w:pPr>
        <w:pStyle w:val="13"/>
        <w:rPr>
          <w:rFonts w:hint="eastAsia" w:ascii="宋体" w:hAnsi="宋体" w:eastAsia="宋体" w:cs="宋体"/>
          <w:sz w:val="24"/>
          <w:szCs w:val="24"/>
        </w:rPr>
      </w:pPr>
    </w:p>
    <w:p w14:paraId="42511AD2">
      <w:pPr>
        <w:pStyle w:val="13"/>
        <w:rPr>
          <w:rFonts w:hint="eastAsia" w:ascii="宋体" w:hAnsi="宋体" w:eastAsia="宋体" w:cs="宋体"/>
          <w:sz w:val="24"/>
          <w:szCs w:val="24"/>
        </w:rPr>
      </w:pPr>
    </w:p>
    <w:p w14:paraId="266DC913">
      <w:pPr>
        <w:pStyle w:val="13"/>
        <w:rPr>
          <w:rFonts w:hint="eastAsia" w:ascii="宋体" w:hAnsi="宋体" w:eastAsia="宋体" w:cs="宋体"/>
          <w:sz w:val="24"/>
          <w:szCs w:val="24"/>
        </w:rPr>
      </w:pPr>
    </w:p>
    <w:p w14:paraId="004B7FB5">
      <w:pPr>
        <w:pStyle w:val="13"/>
        <w:rPr>
          <w:rFonts w:hint="eastAsia" w:ascii="宋体" w:hAnsi="宋体" w:eastAsia="宋体" w:cs="宋体"/>
          <w:sz w:val="24"/>
          <w:szCs w:val="24"/>
        </w:rPr>
      </w:pPr>
    </w:p>
    <w:p w14:paraId="25B7F6B7">
      <w:pPr>
        <w:pStyle w:val="13"/>
        <w:rPr>
          <w:rFonts w:hint="eastAsia" w:ascii="宋体" w:hAnsi="宋体" w:eastAsia="宋体" w:cs="宋体"/>
          <w:sz w:val="24"/>
          <w:szCs w:val="24"/>
        </w:rPr>
      </w:pPr>
    </w:p>
    <w:p w14:paraId="7D20B8A7">
      <w:pPr>
        <w:pStyle w:val="13"/>
        <w:rPr>
          <w:rFonts w:hint="eastAsia" w:ascii="宋体" w:hAnsi="宋体" w:eastAsia="宋体" w:cs="宋体"/>
          <w:sz w:val="24"/>
          <w:szCs w:val="24"/>
        </w:rPr>
      </w:pPr>
    </w:p>
    <w:p w14:paraId="484D6327">
      <w:pPr>
        <w:jc w:val="both"/>
        <w:rPr>
          <w:rFonts w:hint="eastAsia" w:ascii="Microsoft Sans Serif" w:hAnsi="Microsoft Sans Serif" w:eastAsia="微软雅黑"/>
          <w:color w:val="000000"/>
          <w:sz w:val="24"/>
          <w:lang w:val="en-US" w:eastAsia="zh-CN"/>
        </w:rPr>
      </w:pPr>
      <w:r>
        <w:rPr>
          <w:rStyle w:val="37"/>
          <w:rFonts w:hint="eastAsia"/>
        </w:rPr>
        <w:t>附件一</w:t>
      </w:r>
      <w:r>
        <w:rPr>
          <w:rStyle w:val="37"/>
          <w:rFonts w:hint="eastAsia"/>
          <w:lang w:val="en-US" w:eastAsia="zh-CN"/>
        </w:rPr>
        <w:t xml:space="preserve"> </w:t>
      </w:r>
      <w:r>
        <w:rPr>
          <w:rFonts w:hint="eastAsia" w:ascii="Microsoft Sans Serif" w:hAnsi="Microsoft Sans Serif" w:eastAsia="微软雅黑"/>
          <w:color w:val="000000"/>
          <w:sz w:val="24"/>
          <w:lang w:val="en-US" w:eastAsia="zh-CN"/>
        </w:rPr>
        <w:t xml:space="preserve">                        </w:t>
      </w:r>
    </w:p>
    <w:tbl>
      <w:tblPr>
        <w:tblStyle w:val="19"/>
        <w:tblW w:w="9446"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541"/>
        <w:gridCol w:w="7905"/>
      </w:tblGrid>
      <w:tr w14:paraId="442AEF5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541" w:type="dxa"/>
            <w:vAlign w:val="center"/>
          </w:tcPr>
          <w:p w14:paraId="1B35EE7E">
            <w:pPr>
              <w:widowControl/>
              <w:jc w:val="center"/>
              <w:rPr>
                <w:rFonts w:asciiTheme="minorEastAsia" w:hAnsiTheme="minorEastAsia" w:cstheme="minorEastAsia"/>
                <w:b/>
                <w:bCs/>
                <w:color w:val="000000"/>
                <w:kern w:val="0"/>
                <w:szCs w:val="21"/>
              </w:rPr>
            </w:pPr>
            <w:bookmarkStart w:id="0" w:name="_Hlk137514614"/>
            <w:r>
              <w:rPr>
                <w:rFonts w:hint="eastAsia" w:asciiTheme="minorEastAsia" w:hAnsiTheme="minorEastAsia" w:cstheme="minorEastAsia"/>
                <w:b/>
                <w:bCs/>
                <w:color w:val="000000"/>
                <w:kern w:val="0"/>
                <w:szCs w:val="21"/>
              </w:rPr>
              <w:t>指标项</w:t>
            </w:r>
          </w:p>
        </w:tc>
        <w:tc>
          <w:tcPr>
            <w:tcW w:w="7905" w:type="dxa"/>
            <w:vAlign w:val="center"/>
          </w:tcPr>
          <w:p w14:paraId="167EFB66">
            <w:pPr>
              <w:widowControl/>
              <w:jc w:val="center"/>
              <w:rPr>
                <w:rFonts w:asciiTheme="minorEastAsia" w:hAnsiTheme="minorEastAsia" w:cstheme="minorEastAsia"/>
                <w:b/>
                <w:bCs/>
                <w:color w:val="000000"/>
                <w:kern w:val="0"/>
                <w:szCs w:val="21"/>
              </w:rPr>
            </w:pPr>
            <w:r>
              <w:rPr>
                <w:rFonts w:hint="eastAsia" w:asciiTheme="minorEastAsia" w:hAnsiTheme="minorEastAsia" w:cstheme="minorEastAsia"/>
                <w:b/>
                <w:bCs/>
                <w:color w:val="000000"/>
                <w:kern w:val="0"/>
                <w:szCs w:val="21"/>
              </w:rPr>
              <w:t>技术要求</w:t>
            </w:r>
          </w:p>
        </w:tc>
      </w:tr>
      <w:tr w14:paraId="725BA4F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541" w:type="dxa"/>
            <w:tcBorders>
              <w:bottom w:val="single" w:color="auto" w:sz="4" w:space="0"/>
            </w:tcBorders>
          </w:tcPr>
          <w:p w14:paraId="06368FF0">
            <w:pPr>
              <w:jc w:val="center"/>
              <w:rPr>
                <w:rFonts w:asciiTheme="minorEastAsia" w:hAnsiTheme="minorEastAsia" w:cstheme="minorEastAsia"/>
                <w:color w:val="000000"/>
                <w:szCs w:val="21"/>
              </w:rPr>
            </w:pPr>
            <w:r>
              <w:rPr>
                <w:rFonts w:hint="eastAsia" w:asciiTheme="minorEastAsia" w:hAnsiTheme="minorEastAsia" w:cstheme="minorEastAsia"/>
                <w:szCs w:val="21"/>
              </w:rPr>
              <w:t>▲</w:t>
            </w:r>
            <w:r>
              <w:rPr>
                <w:rFonts w:hint="eastAsia" w:asciiTheme="minorEastAsia" w:hAnsiTheme="minorEastAsia" w:cstheme="minorEastAsia"/>
                <w:color w:val="000000"/>
                <w:szCs w:val="21"/>
              </w:rPr>
              <w:t>规格</w:t>
            </w:r>
          </w:p>
          <w:p w14:paraId="606B04D2">
            <w:pPr>
              <w:jc w:val="center"/>
              <w:rPr>
                <w:rFonts w:asciiTheme="minorEastAsia" w:hAnsiTheme="minorEastAsia" w:cstheme="minorEastAsia"/>
                <w:color w:val="000000"/>
                <w:szCs w:val="21"/>
              </w:rPr>
            </w:pPr>
            <w:r>
              <w:rPr>
                <w:rFonts w:hint="eastAsia" w:asciiTheme="minorEastAsia" w:hAnsiTheme="minorEastAsia" w:cstheme="minorEastAsia"/>
                <w:color w:val="000000"/>
                <w:szCs w:val="21"/>
              </w:rPr>
              <w:t>要求</w:t>
            </w:r>
          </w:p>
        </w:tc>
        <w:tc>
          <w:tcPr>
            <w:tcW w:w="7905" w:type="dxa"/>
            <w:tcBorders>
              <w:bottom w:val="single" w:color="auto" w:sz="4" w:space="0"/>
            </w:tcBorders>
          </w:tcPr>
          <w:p w14:paraId="7452A143">
            <w:pPr>
              <w:widowControl/>
              <w:jc w:val="left"/>
            </w:pPr>
            <w:r>
              <w:rPr>
                <w:rFonts w:hint="eastAsia" w:asciiTheme="minorEastAsia" w:hAnsiTheme="minorEastAsia" w:cstheme="minorEastAsia"/>
                <w:color w:val="000000"/>
                <w:szCs w:val="21"/>
              </w:rPr>
              <w:t>标准2U硬件平台，采用国产CPU和国产化操作系统、CPU≥</w:t>
            </w:r>
            <w:r>
              <w:rPr>
                <w:rFonts w:hint="eastAsia"/>
              </w:rPr>
              <w:t>48核48线程</w:t>
            </w:r>
            <w:r>
              <w:rPr>
                <w:rFonts w:hint="eastAsia" w:asciiTheme="minorEastAsia" w:hAnsiTheme="minorEastAsia" w:cstheme="minorEastAsia"/>
                <w:color w:val="000000"/>
                <w:szCs w:val="21"/>
              </w:rPr>
              <w:t>，内存≥64G，硬盘≥24T，千兆电口≥5个，万兆光口≥2个（含2个万兆多模光模块），接口扩展插槽≥3个，USB≥4个，双电源</w:t>
            </w:r>
          </w:p>
        </w:tc>
      </w:tr>
      <w:tr w14:paraId="7D7D76E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541" w:type="dxa"/>
            <w:tcBorders>
              <w:bottom w:val="single" w:color="auto" w:sz="4" w:space="0"/>
            </w:tcBorders>
          </w:tcPr>
          <w:p w14:paraId="667852FA">
            <w:pPr>
              <w:jc w:val="center"/>
              <w:rPr>
                <w:rFonts w:asciiTheme="minorEastAsia" w:hAnsiTheme="minorEastAsia" w:cstheme="minorEastAsia"/>
                <w:color w:val="000000"/>
                <w:szCs w:val="21"/>
              </w:rPr>
            </w:pPr>
            <w:r>
              <w:rPr>
                <w:rFonts w:hint="eastAsia" w:asciiTheme="minorEastAsia" w:hAnsiTheme="minorEastAsia" w:cstheme="minorEastAsia"/>
                <w:szCs w:val="21"/>
              </w:rPr>
              <w:t>▲</w:t>
            </w:r>
            <w:r>
              <w:rPr>
                <w:rFonts w:hint="eastAsia" w:asciiTheme="minorEastAsia" w:hAnsiTheme="minorEastAsia" w:cstheme="minorEastAsia"/>
                <w:color w:val="000000"/>
                <w:szCs w:val="21"/>
              </w:rPr>
              <w:t>性能</w:t>
            </w:r>
          </w:p>
          <w:p w14:paraId="29E9ADD7">
            <w:pPr>
              <w:jc w:val="center"/>
              <w:rPr>
                <w:rFonts w:asciiTheme="minorEastAsia" w:hAnsiTheme="minorEastAsia" w:cstheme="minorEastAsia"/>
                <w:color w:val="000000"/>
                <w:szCs w:val="21"/>
              </w:rPr>
            </w:pPr>
            <w:r>
              <w:rPr>
                <w:rFonts w:hint="eastAsia" w:asciiTheme="minorEastAsia" w:hAnsiTheme="minorEastAsia" w:cstheme="minorEastAsia"/>
                <w:color w:val="000000"/>
                <w:szCs w:val="21"/>
              </w:rPr>
              <w:t>要求</w:t>
            </w:r>
          </w:p>
        </w:tc>
        <w:tc>
          <w:tcPr>
            <w:tcW w:w="7905" w:type="dxa"/>
            <w:tcBorders>
              <w:bottom w:val="single" w:color="auto" w:sz="4" w:space="0"/>
            </w:tcBorders>
          </w:tcPr>
          <w:p w14:paraId="6DF928DB">
            <w:pPr>
              <w:widowControl/>
              <w:jc w:val="left"/>
              <w:rPr>
                <w:rFonts w:asciiTheme="minorEastAsia" w:hAnsiTheme="minorEastAsia" w:cstheme="minorEastAsia"/>
                <w:color w:val="000000"/>
                <w:szCs w:val="21"/>
              </w:rPr>
            </w:pPr>
            <w:r>
              <w:rPr>
                <w:rFonts w:hint="eastAsia" w:asciiTheme="minorEastAsia" w:hAnsiTheme="minorEastAsia" w:cstheme="minorEastAsia"/>
                <w:color w:val="000000"/>
                <w:szCs w:val="21"/>
              </w:rPr>
              <w:t>数据平均处理能力</w:t>
            </w:r>
            <w:r>
              <w:rPr>
                <w:rFonts w:hint="eastAsia" w:asciiTheme="minorEastAsia" w:hAnsiTheme="minorEastAsia" w:cstheme="minorEastAsia"/>
                <w:bCs/>
                <w:color w:val="000000"/>
                <w:kern w:val="0"/>
                <w:szCs w:val="21"/>
              </w:rPr>
              <w:t>≥</w:t>
            </w:r>
            <w:r>
              <w:rPr>
                <w:rFonts w:hint="eastAsia" w:asciiTheme="minorEastAsia" w:hAnsiTheme="minorEastAsia" w:cstheme="minorEastAsia"/>
                <w:color w:val="000000"/>
                <w:szCs w:val="21"/>
              </w:rPr>
              <w:t>25000EPS,数据峰值处理能力</w:t>
            </w:r>
            <w:r>
              <w:rPr>
                <w:rFonts w:hint="eastAsia" w:asciiTheme="minorEastAsia" w:hAnsiTheme="minorEastAsia" w:cstheme="minorEastAsia"/>
                <w:bCs/>
                <w:color w:val="000000"/>
                <w:kern w:val="0"/>
                <w:szCs w:val="21"/>
              </w:rPr>
              <w:t>≥</w:t>
            </w:r>
            <w:r>
              <w:rPr>
                <w:rFonts w:hint="eastAsia" w:asciiTheme="minorEastAsia" w:hAnsiTheme="minorEastAsia" w:cstheme="minorEastAsia"/>
                <w:color w:val="000000"/>
                <w:szCs w:val="21"/>
              </w:rPr>
              <w:t>40000EPS</w:t>
            </w:r>
            <w:r>
              <w:rPr>
                <w:rFonts w:hint="eastAsia" w:asciiTheme="minorEastAsia" w:hAnsiTheme="minorEastAsia" w:cstheme="minorEastAsia"/>
                <w:bCs/>
                <w:color w:val="000000"/>
                <w:kern w:val="0"/>
                <w:szCs w:val="21"/>
              </w:rPr>
              <w:t>，</w:t>
            </w:r>
            <w:r>
              <w:rPr>
                <w:rFonts w:hint="eastAsia" w:asciiTheme="minorEastAsia" w:hAnsiTheme="minorEastAsia" w:cstheme="minorEastAsia"/>
                <w:color w:val="000000"/>
                <w:szCs w:val="21"/>
              </w:rPr>
              <w:t>纳管日志源资产个数≥1000个</w:t>
            </w:r>
          </w:p>
          <w:p w14:paraId="188AA49A">
            <w:pPr>
              <w:widowControl/>
              <w:jc w:val="left"/>
            </w:pPr>
          </w:p>
        </w:tc>
      </w:tr>
      <w:tr w14:paraId="212253C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jc w:val="center"/>
        </w:trPr>
        <w:tc>
          <w:tcPr>
            <w:tcW w:w="1541" w:type="dxa"/>
            <w:tcBorders>
              <w:bottom w:val="single" w:color="auto" w:sz="4" w:space="0"/>
            </w:tcBorders>
          </w:tcPr>
          <w:p w14:paraId="1A91D79D">
            <w:pPr>
              <w:jc w:val="center"/>
              <w:rPr>
                <w:rFonts w:asciiTheme="minorEastAsia" w:hAnsiTheme="minorEastAsia" w:cstheme="minorEastAsia"/>
                <w:color w:val="000000"/>
                <w:szCs w:val="21"/>
              </w:rPr>
            </w:pPr>
            <w:r>
              <w:rPr>
                <w:rFonts w:hint="eastAsia" w:asciiTheme="minorEastAsia" w:hAnsiTheme="minorEastAsia" w:cstheme="minorEastAsia"/>
                <w:color w:val="000000"/>
                <w:szCs w:val="21"/>
              </w:rPr>
              <w:t>兼容性</w:t>
            </w:r>
          </w:p>
          <w:p w14:paraId="5F1314E1">
            <w:pPr>
              <w:jc w:val="center"/>
              <w:rPr>
                <w:rFonts w:asciiTheme="minorEastAsia" w:hAnsiTheme="minorEastAsia" w:cstheme="minorEastAsia"/>
                <w:color w:val="000000"/>
                <w:szCs w:val="21"/>
              </w:rPr>
            </w:pPr>
            <w:r>
              <w:rPr>
                <w:rFonts w:hint="eastAsia" w:asciiTheme="minorEastAsia" w:hAnsiTheme="minorEastAsia" w:cstheme="minorEastAsia"/>
                <w:color w:val="000000"/>
                <w:szCs w:val="21"/>
              </w:rPr>
              <w:t>认证</w:t>
            </w:r>
          </w:p>
        </w:tc>
        <w:tc>
          <w:tcPr>
            <w:tcW w:w="7905" w:type="dxa"/>
            <w:tcBorders>
              <w:bottom w:val="single" w:color="auto" w:sz="4" w:space="0"/>
            </w:tcBorders>
          </w:tcPr>
          <w:p w14:paraId="4AA57B27">
            <w:pPr>
              <w:rPr>
                <w:rFonts w:asciiTheme="minorEastAsia" w:hAnsiTheme="minorEastAsia" w:cstheme="minorEastAsia"/>
                <w:color w:val="000000"/>
                <w:szCs w:val="21"/>
              </w:rPr>
            </w:pPr>
            <w:r>
              <w:rPr>
                <w:rFonts w:hint="eastAsia" w:asciiTheme="minorEastAsia" w:hAnsiTheme="minorEastAsia" w:cstheme="minorEastAsia"/>
                <w:color w:val="000000"/>
                <w:szCs w:val="21"/>
              </w:rPr>
              <w:t>支持与龙芯、飞腾、兆芯、鲲鹏、海光等国产芯片厂商通过兼容性适配的互认证书</w:t>
            </w:r>
            <w:r>
              <w:rPr>
                <w:rFonts w:hint="eastAsia" w:asciiTheme="minorEastAsia" w:hAnsiTheme="minorEastAsia" w:cstheme="minorEastAsia"/>
                <w:bCs/>
                <w:color w:val="000000"/>
                <w:kern w:val="0"/>
                <w:szCs w:val="21"/>
              </w:rPr>
              <w:t>（至少提供一份）</w:t>
            </w:r>
            <w:r>
              <w:rPr>
                <w:rFonts w:hint="eastAsia" w:asciiTheme="minorEastAsia" w:hAnsiTheme="minorEastAsia" w:cstheme="minorEastAsia"/>
                <w:color w:val="000000"/>
                <w:szCs w:val="21"/>
              </w:rPr>
              <w:t>，与麒麟软件、统信软件等国产操作系统厂商通过兼容性适配的互认证书</w:t>
            </w:r>
            <w:r>
              <w:rPr>
                <w:rFonts w:hint="eastAsia" w:asciiTheme="minorEastAsia" w:hAnsiTheme="minorEastAsia" w:cstheme="minorEastAsia"/>
                <w:bCs/>
                <w:color w:val="000000"/>
                <w:kern w:val="0"/>
                <w:szCs w:val="21"/>
              </w:rPr>
              <w:t>（至少提供一份）</w:t>
            </w:r>
            <w:r>
              <w:rPr>
                <w:rFonts w:hint="eastAsia" w:asciiTheme="minorEastAsia" w:hAnsiTheme="minorEastAsia" w:cstheme="minorEastAsia"/>
                <w:color w:val="000000"/>
                <w:szCs w:val="21"/>
              </w:rPr>
              <w:t>，保证信创环境可用、易用。（提供互认证书证明）</w:t>
            </w:r>
          </w:p>
        </w:tc>
      </w:tr>
      <w:tr w14:paraId="1DB6CAE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541" w:type="dxa"/>
            <w:tcBorders>
              <w:top w:val="single" w:color="auto" w:sz="4" w:space="0"/>
              <w:left w:val="single" w:color="auto" w:sz="4" w:space="0"/>
              <w:bottom w:val="single" w:color="auto" w:sz="4" w:space="0"/>
              <w:right w:val="single" w:color="auto" w:sz="4" w:space="0"/>
            </w:tcBorders>
          </w:tcPr>
          <w:p w14:paraId="495B76F2">
            <w:pPr>
              <w:jc w:val="center"/>
              <w:rPr>
                <w:rFonts w:asciiTheme="minorEastAsia" w:hAnsiTheme="minorEastAsia" w:cstheme="minorEastAsia"/>
                <w:color w:val="000000"/>
                <w:szCs w:val="21"/>
              </w:rPr>
            </w:pPr>
            <w:r>
              <w:rPr>
                <w:rFonts w:hint="eastAsia" w:asciiTheme="minorEastAsia" w:hAnsiTheme="minorEastAsia" w:cstheme="minorEastAsia"/>
                <w:color w:val="000000"/>
                <w:szCs w:val="21"/>
              </w:rPr>
              <w:t>工作</w:t>
            </w:r>
          </w:p>
          <w:p w14:paraId="5A6211CE">
            <w:pPr>
              <w:jc w:val="center"/>
              <w:rPr>
                <w:rFonts w:asciiTheme="minorEastAsia" w:hAnsiTheme="minorEastAsia" w:cstheme="minorEastAsia"/>
                <w:color w:val="000000"/>
                <w:szCs w:val="21"/>
              </w:rPr>
            </w:pPr>
            <w:r>
              <w:rPr>
                <w:rFonts w:hint="eastAsia" w:asciiTheme="minorEastAsia" w:hAnsiTheme="minorEastAsia" w:cstheme="minorEastAsia"/>
                <w:color w:val="000000"/>
                <w:szCs w:val="21"/>
              </w:rPr>
              <w:t>模式</w:t>
            </w:r>
          </w:p>
        </w:tc>
        <w:tc>
          <w:tcPr>
            <w:tcW w:w="7905" w:type="dxa"/>
            <w:tcBorders>
              <w:top w:val="single" w:color="auto" w:sz="4" w:space="0"/>
              <w:left w:val="single" w:color="auto" w:sz="4" w:space="0"/>
              <w:bottom w:val="single" w:color="auto" w:sz="4" w:space="0"/>
              <w:right w:val="single" w:color="auto" w:sz="4" w:space="0"/>
            </w:tcBorders>
          </w:tcPr>
          <w:p w14:paraId="2E7B007F">
            <w:pPr>
              <w:rPr>
                <w:rFonts w:asciiTheme="minorEastAsia" w:hAnsiTheme="minorEastAsia" w:cstheme="minorEastAsia"/>
                <w:color w:val="000000"/>
                <w:szCs w:val="21"/>
              </w:rPr>
            </w:pPr>
            <w:r>
              <w:rPr>
                <w:rFonts w:hint="eastAsia" w:asciiTheme="minorEastAsia" w:hAnsiTheme="minorEastAsia" w:cstheme="minorEastAsia"/>
                <w:bCs/>
                <w:color w:val="000000"/>
                <w:kern w:val="0"/>
                <w:szCs w:val="21"/>
              </w:rPr>
              <w:t>支持</w:t>
            </w:r>
            <w:r>
              <w:rPr>
                <w:rFonts w:hint="eastAsia" w:asciiTheme="minorEastAsia" w:hAnsiTheme="minorEastAsia" w:cstheme="minorEastAsia"/>
                <w:color w:val="000000"/>
                <w:szCs w:val="21"/>
              </w:rPr>
              <w:t>全中文WEB管理界面，无需安装任意客户端软件或插件</w:t>
            </w:r>
          </w:p>
        </w:tc>
      </w:tr>
      <w:tr w14:paraId="60FECB4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541" w:type="dxa"/>
            <w:vMerge w:val="restart"/>
            <w:tcBorders>
              <w:top w:val="single" w:color="auto" w:sz="4" w:space="0"/>
              <w:left w:val="single" w:color="auto" w:sz="4" w:space="0"/>
              <w:right w:val="single" w:color="auto" w:sz="4" w:space="0"/>
            </w:tcBorders>
            <w:vAlign w:val="center"/>
          </w:tcPr>
          <w:p w14:paraId="63F0CE35">
            <w:pPr>
              <w:jc w:val="center"/>
              <w:rPr>
                <w:rFonts w:asciiTheme="minorEastAsia" w:hAnsiTheme="minorEastAsia" w:cstheme="minorEastAsia"/>
                <w:color w:val="000000"/>
                <w:szCs w:val="21"/>
              </w:rPr>
            </w:pPr>
            <w:r>
              <w:rPr>
                <w:rFonts w:hint="eastAsia" w:asciiTheme="minorEastAsia" w:hAnsiTheme="minorEastAsia" w:cstheme="minorEastAsia"/>
                <w:color w:val="000000"/>
                <w:szCs w:val="21"/>
              </w:rPr>
              <w:t>部署</w:t>
            </w:r>
          </w:p>
          <w:p w14:paraId="0C9EB193">
            <w:pPr>
              <w:jc w:val="center"/>
              <w:rPr>
                <w:rFonts w:asciiTheme="minorEastAsia" w:hAnsiTheme="minorEastAsia" w:cstheme="minorEastAsia"/>
                <w:color w:val="000000"/>
                <w:szCs w:val="21"/>
              </w:rPr>
            </w:pPr>
            <w:r>
              <w:rPr>
                <w:rFonts w:hint="eastAsia" w:asciiTheme="minorEastAsia" w:hAnsiTheme="minorEastAsia" w:cstheme="minorEastAsia"/>
                <w:color w:val="000000"/>
                <w:szCs w:val="21"/>
              </w:rPr>
              <w:t>方式</w:t>
            </w:r>
          </w:p>
        </w:tc>
        <w:tc>
          <w:tcPr>
            <w:tcW w:w="7905" w:type="dxa"/>
            <w:tcBorders>
              <w:top w:val="single" w:color="auto" w:sz="4" w:space="0"/>
              <w:left w:val="single" w:color="auto" w:sz="4" w:space="0"/>
              <w:bottom w:val="single" w:color="auto" w:sz="4" w:space="0"/>
              <w:right w:val="single" w:color="auto" w:sz="4" w:space="0"/>
            </w:tcBorders>
          </w:tcPr>
          <w:p w14:paraId="534CBDA4">
            <w:pPr>
              <w:rPr>
                <w:rFonts w:asciiTheme="minorEastAsia" w:hAnsiTheme="minorEastAsia" w:cstheme="minorEastAsia"/>
                <w:color w:val="000000"/>
                <w:szCs w:val="21"/>
              </w:rPr>
            </w:pPr>
            <w:r>
              <w:rPr>
                <w:rFonts w:hint="eastAsia" w:asciiTheme="minorEastAsia" w:hAnsiTheme="minorEastAsia" w:cstheme="minorEastAsia"/>
                <w:bCs/>
                <w:color w:val="000000"/>
                <w:kern w:val="0"/>
                <w:szCs w:val="21"/>
              </w:rPr>
              <w:t>支持</w:t>
            </w:r>
            <w:r>
              <w:rPr>
                <w:rFonts w:hint="eastAsia" w:asciiTheme="minorEastAsia" w:hAnsiTheme="minorEastAsia" w:cstheme="minorEastAsia"/>
                <w:color w:val="000000"/>
                <w:szCs w:val="21"/>
              </w:rPr>
              <w:t>旁路部署，无须改变用户网络架构</w:t>
            </w:r>
          </w:p>
        </w:tc>
      </w:tr>
      <w:tr w14:paraId="73F6E08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jc w:val="center"/>
        </w:trPr>
        <w:tc>
          <w:tcPr>
            <w:tcW w:w="1541" w:type="dxa"/>
            <w:vMerge w:val="continue"/>
            <w:tcBorders>
              <w:left w:val="single" w:color="auto" w:sz="4" w:space="0"/>
              <w:bottom w:val="single" w:color="auto" w:sz="4" w:space="0"/>
              <w:right w:val="single" w:color="auto" w:sz="4" w:space="0"/>
            </w:tcBorders>
          </w:tcPr>
          <w:p w14:paraId="646462F5">
            <w:pPr>
              <w:jc w:val="center"/>
              <w:rPr>
                <w:rFonts w:asciiTheme="minorEastAsia" w:hAnsiTheme="minorEastAsia" w:cstheme="minorEastAsia"/>
                <w:color w:val="000000"/>
                <w:szCs w:val="21"/>
              </w:rPr>
            </w:pPr>
          </w:p>
        </w:tc>
        <w:tc>
          <w:tcPr>
            <w:tcW w:w="7905" w:type="dxa"/>
            <w:tcBorders>
              <w:top w:val="single" w:color="auto" w:sz="4" w:space="0"/>
              <w:left w:val="single" w:color="auto" w:sz="4" w:space="0"/>
              <w:bottom w:val="single" w:color="auto" w:sz="4" w:space="0"/>
              <w:right w:val="single" w:color="auto" w:sz="4" w:space="0"/>
            </w:tcBorders>
          </w:tcPr>
          <w:p w14:paraId="61666F08">
            <w:pPr>
              <w:rPr>
                <w:rFonts w:asciiTheme="minorEastAsia" w:hAnsiTheme="minorEastAsia" w:cstheme="minorEastAsia"/>
                <w:bCs/>
                <w:color w:val="000000"/>
                <w:kern w:val="0"/>
                <w:szCs w:val="21"/>
              </w:rPr>
            </w:pPr>
            <w:r>
              <w:rPr>
                <w:rFonts w:hint="eastAsia" w:asciiTheme="minorEastAsia" w:hAnsiTheme="minorEastAsia" w:cstheme="minorEastAsia"/>
                <w:bCs/>
                <w:color w:val="000000"/>
                <w:kern w:val="0"/>
                <w:szCs w:val="21"/>
              </w:rPr>
              <w:t>支持分布式部署，支持页面一键添加子节点，自动进行绑定添加，采集器可以选择同步日志范围，按需转发数据。（提供产品功能截图）</w:t>
            </w:r>
          </w:p>
        </w:tc>
      </w:tr>
      <w:tr w14:paraId="2559E19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541" w:type="dxa"/>
            <w:vMerge w:val="restart"/>
            <w:vAlign w:val="center"/>
          </w:tcPr>
          <w:p w14:paraId="7517F8C9">
            <w:pPr>
              <w:jc w:val="center"/>
              <w:rPr>
                <w:rFonts w:asciiTheme="minorEastAsia" w:hAnsiTheme="minorEastAsia" w:cstheme="minorEastAsia"/>
                <w:color w:val="000000"/>
                <w:szCs w:val="21"/>
              </w:rPr>
            </w:pPr>
            <w:r>
              <w:rPr>
                <w:rFonts w:hint="eastAsia" w:asciiTheme="minorEastAsia" w:hAnsiTheme="minorEastAsia" w:cstheme="minorEastAsia"/>
                <w:color w:val="000000"/>
                <w:szCs w:val="21"/>
              </w:rPr>
              <w:t>日志</w:t>
            </w:r>
          </w:p>
          <w:p w14:paraId="1B00D3E3">
            <w:pPr>
              <w:jc w:val="center"/>
              <w:rPr>
                <w:rFonts w:asciiTheme="minorEastAsia" w:hAnsiTheme="minorEastAsia" w:cstheme="minorEastAsia"/>
                <w:color w:val="000000"/>
                <w:szCs w:val="21"/>
              </w:rPr>
            </w:pPr>
            <w:r>
              <w:rPr>
                <w:rFonts w:hint="eastAsia" w:asciiTheme="minorEastAsia" w:hAnsiTheme="minorEastAsia" w:cstheme="minorEastAsia"/>
                <w:color w:val="000000"/>
                <w:szCs w:val="21"/>
              </w:rPr>
              <w:t>收集</w:t>
            </w:r>
          </w:p>
        </w:tc>
        <w:tc>
          <w:tcPr>
            <w:tcW w:w="7905" w:type="dxa"/>
          </w:tcPr>
          <w:p w14:paraId="5CE5D6F3">
            <w:pPr>
              <w:rPr>
                <w:rFonts w:asciiTheme="minorEastAsia" w:hAnsiTheme="minorEastAsia" w:cstheme="minorEastAsia"/>
                <w:color w:val="000000"/>
                <w:szCs w:val="21"/>
              </w:rPr>
            </w:pPr>
            <w:r>
              <w:rPr>
                <w:rFonts w:hint="eastAsia" w:asciiTheme="minorEastAsia" w:hAnsiTheme="minorEastAsia" w:cstheme="minorEastAsia"/>
                <w:bCs/>
                <w:color w:val="000000"/>
                <w:kern w:val="0"/>
                <w:szCs w:val="21"/>
              </w:rPr>
              <w:t>支持</w:t>
            </w:r>
            <w:r>
              <w:rPr>
                <w:rFonts w:hint="eastAsia" w:asciiTheme="minorEastAsia" w:hAnsiTheme="minorEastAsia" w:cstheme="minorEastAsia"/>
                <w:color w:val="000000"/>
                <w:szCs w:val="21"/>
              </w:rPr>
              <w:t>目前主流的网络安全设备、交换设备、路由设备、操作系统、应用系统等日志采集</w:t>
            </w:r>
          </w:p>
        </w:tc>
      </w:tr>
      <w:tr w14:paraId="6FA0CBD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541" w:type="dxa"/>
            <w:vMerge w:val="continue"/>
            <w:vAlign w:val="center"/>
          </w:tcPr>
          <w:p w14:paraId="105F456E">
            <w:pPr>
              <w:jc w:val="center"/>
              <w:rPr>
                <w:rFonts w:asciiTheme="minorEastAsia" w:hAnsiTheme="minorEastAsia" w:cstheme="minorEastAsia"/>
                <w:color w:val="000000"/>
                <w:szCs w:val="21"/>
              </w:rPr>
            </w:pPr>
          </w:p>
        </w:tc>
        <w:tc>
          <w:tcPr>
            <w:tcW w:w="7905" w:type="dxa"/>
          </w:tcPr>
          <w:p w14:paraId="51A690BF">
            <w:pPr>
              <w:rPr>
                <w:rFonts w:asciiTheme="minorEastAsia" w:hAnsiTheme="minorEastAsia" w:cstheme="minorEastAsia"/>
                <w:color w:val="000000"/>
                <w:szCs w:val="21"/>
              </w:rPr>
            </w:pPr>
            <w:r>
              <w:rPr>
                <w:rFonts w:hint="eastAsia" w:asciiTheme="minorEastAsia" w:hAnsiTheme="minorEastAsia" w:cstheme="minorEastAsia"/>
                <w:bCs/>
                <w:color w:val="000000"/>
                <w:kern w:val="0"/>
                <w:szCs w:val="21"/>
              </w:rPr>
              <w:t>支持常见的虚拟机环境日志收集，包括Xen、VMWare、Hyper-V等。</w:t>
            </w:r>
          </w:p>
        </w:tc>
      </w:tr>
      <w:tr w14:paraId="63C9907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541" w:type="dxa"/>
            <w:vMerge w:val="continue"/>
          </w:tcPr>
          <w:p w14:paraId="5A9C9B99">
            <w:pPr>
              <w:jc w:val="center"/>
              <w:rPr>
                <w:rFonts w:asciiTheme="minorEastAsia" w:hAnsiTheme="minorEastAsia" w:cstheme="minorEastAsia"/>
                <w:color w:val="000000"/>
                <w:szCs w:val="21"/>
              </w:rPr>
            </w:pPr>
          </w:p>
        </w:tc>
        <w:tc>
          <w:tcPr>
            <w:tcW w:w="7905" w:type="dxa"/>
          </w:tcPr>
          <w:p w14:paraId="533DFF24">
            <w:pPr>
              <w:rPr>
                <w:rFonts w:asciiTheme="minorEastAsia" w:hAnsiTheme="minorEastAsia" w:cstheme="minorEastAsia"/>
                <w:color w:val="000000"/>
                <w:szCs w:val="21"/>
              </w:rPr>
            </w:pPr>
            <w:r>
              <w:rPr>
                <w:rFonts w:hint="eastAsia" w:asciiTheme="minorEastAsia" w:hAnsiTheme="minorEastAsia" w:cstheme="minorEastAsia"/>
                <w:bCs/>
                <w:color w:val="000000"/>
                <w:kern w:val="0"/>
                <w:szCs w:val="21"/>
              </w:rPr>
              <w:t>支持</w:t>
            </w:r>
            <w:r>
              <w:rPr>
                <w:rFonts w:hint="eastAsia" w:asciiTheme="minorEastAsia" w:hAnsiTheme="minorEastAsia" w:cstheme="minorEastAsia"/>
                <w:color w:val="000000"/>
                <w:szCs w:val="21"/>
              </w:rPr>
              <w:t>通过接收协议限制日志接收速率，包括Http接收、syslog接收、SNMPtrap接收、TCP接收、WMI接收、</w:t>
            </w:r>
            <w:r>
              <w:rPr>
                <w:rFonts w:hint="eastAsia" w:asciiTheme="minorEastAsia" w:hAnsiTheme="minorEastAsia" w:cstheme="minorEastAsia"/>
                <w:bCs/>
                <w:color w:val="000000"/>
                <w:kern w:val="0"/>
                <w:szCs w:val="21"/>
              </w:rPr>
              <w:t>JDBC、</w:t>
            </w:r>
            <w:r>
              <w:rPr>
                <w:rFonts w:hint="eastAsia" w:asciiTheme="minorEastAsia" w:hAnsiTheme="minorEastAsia" w:cstheme="minorEastAsia"/>
                <w:color w:val="000000"/>
                <w:szCs w:val="21"/>
              </w:rPr>
              <w:t>aliyun接收。（提供产品功能截图）</w:t>
            </w:r>
          </w:p>
          <w:p w14:paraId="45766F30">
            <w:pPr>
              <w:rPr>
                <w:rFonts w:asciiTheme="minorEastAsia" w:hAnsiTheme="minorEastAsia" w:cstheme="minorEastAsia"/>
                <w:color w:val="000000"/>
                <w:szCs w:val="21"/>
              </w:rPr>
            </w:pPr>
            <w:r>
              <w:rPr>
                <w:rFonts w:hint="eastAsia" w:asciiTheme="minorEastAsia" w:hAnsiTheme="minorEastAsia" w:cstheme="minorEastAsia"/>
                <w:color w:val="000000"/>
                <w:szCs w:val="21"/>
              </w:rPr>
              <w:t>支持使用代理(Agent)方式提取日志并收集</w:t>
            </w:r>
          </w:p>
        </w:tc>
      </w:tr>
      <w:tr w14:paraId="3A5537B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541" w:type="dxa"/>
            <w:vMerge w:val="continue"/>
          </w:tcPr>
          <w:p w14:paraId="5688CA78">
            <w:pPr>
              <w:jc w:val="center"/>
              <w:rPr>
                <w:rFonts w:asciiTheme="minorEastAsia" w:hAnsiTheme="minorEastAsia" w:cstheme="minorEastAsia"/>
                <w:color w:val="000000"/>
                <w:szCs w:val="21"/>
              </w:rPr>
            </w:pPr>
          </w:p>
        </w:tc>
        <w:tc>
          <w:tcPr>
            <w:tcW w:w="7905" w:type="dxa"/>
          </w:tcPr>
          <w:p w14:paraId="20E66E3F">
            <w:pPr>
              <w:rPr>
                <w:rFonts w:asciiTheme="minorEastAsia" w:hAnsiTheme="minorEastAsia" w:cstheme="minorEastAsia"/>
                <w:color w:val="000000"/>
                <w:szCs w:val="21"/>
              </w:rPr>
            </w:pPr>
            <w:r>
              <w:rPr>
                <w:rFonts w:hint="eastAsia" w:asciiTheme="minorEastAsia" w:hAnsiTheme="minorEastAsia" w:cstheme="minorEastAsia"/>
                <w:bCs/>
                <w:color w:val="000000"/>
                <w:kern w:val="0"/>
                <w:szCs w:val="21"/>
              </w:rPr>
              <w:t>★支持对Agent进行统一管控，包括卸载、升级、启动及停止操作，支持将日志收集策略统一分发（提供产品功能截图）</w:t>
            </w:r>
          </w:p>
        </w:tc>
      </w:tr>
      <w:tr w14:paraId="0AEBB2B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541" w:type="dxa"/>
            <w:vMerge w:val="restart"/>
            <w:vAlign w:val="center"/>
          </w:tcPr>
          <w:p w14:paraId="7A01F5DD">
            <w:pPr>
              <w:jc w:val="center"/>
              <w:rPr>
                <w:rFonts w:asciiTheme="minorEastAsia" w:hAnsiTheme="minorEastAsia" w:cstheme="minorEastAsia"/>
                <w:color w:val="000000"/>
                <w:szCs w:val="21"/>
              </w:rPr>
            </w:pPr>
            <w:r>
              <w:rPr>
                <w:rFonts w:hint="eastAsia" w:asciiTheme="minorEastAsia" w:hAnsiTheme="minorEastAsia" w:cstheme="minorEastAsia"/>
                <w:color w:val="000000"/>
                <w:szCs w:val="21"/>
              </w:rPr>
              <w:t>日志</w:t>
            </w:r>
          </w:p>
          <w:p w14:paraId="31DB318A">
            <w:pPr>
              <w:jc w:val="center"/>
              <w:rPr>
                <w:rFonts w:asciiTheme="minorEastAsia" w:hAnsiTheme="minorEastAsia" w:cstheme="minorEastAsia"/>
                <w:color w:val="000000"/>
                <w:szCs w:val="21"/>
              </w:rPr>
            </w:pPr>
            <w:r>
              <w:rPr>
                <w:rFonts w:hint="eastAsia" w:asciiTheme="minorEastAsia" w:hAnsiTheme="minorEastAsia" w:cstheme="minorEastAsia"/>
                <w:color w:val="000000"/>
                <w:szCs w:val="21"/>
              </w:rPr>
              <w:t>分析</w:t>
            </w:r>
          </w:p>
        </w:tc>
        <w:tc>
          <w:tcPr>
            <w:tcW w:w="7905" w:type="dxa"/>
          </w:tcPr>
          <w:p w14:paraId="1A258EB0">
            <w:pPr>
              <w:rPr>
                <w:rFonts w:asciiTheme="minorEastAsia" w:hAnsiTheme="minorEastAsia" w:cstheme="minorEastAsia"/>
                <w:color w:val="000000"/>
                <w:szCs w:val="21"/>
              </w:rPr>
            </w:pPr>
            <w:r>
              <w:rPr>
                <w:rFonts w:hint="eastAsia" w:asciiTheme="minorEastAsia" w:hAnsiTheme="minorEastAsia" w:cstheme="minorEastAsia"/>
                <w:bCs/>
                <w:color w:val="000000"/>
                <w:kern w:val="0"/>
                <w:szCs w:val="21"/>
              </w:rPr>
              <w:t>支持</w:t>
            </w:r>
            <w:r>
              <w:rPr>
                <w:rFonts w:hint="eastAsia" w:asciiTheme="minorEastAsia" w:hAnsiTheme="minorEastAsia" w:cstheme="minorEastAsia"/>
                <w:color w:val="000000"/>
                <w:szCs w:val="21"/>
              </w:rPr>
              <w:t>可以以告警日志等级进行过滤</w:t>
            </w:r>
          </w:p>
        </w:tc>
      </w:tr>
      <w:tr w14:paraId="4213397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541" w:type="dxa"/>
            <w:vMerge w:val="continue"/>
          </w:tcPr>
          <w:p w14:paraId="504A86D1">
            <w:pPr>
              <w:jc w:val="center"/>
              <w:rPr>
                <w:rFonts w:asciiTheme="minorEastAsia" w:hAnsiTheme="minorEastAsia" w:cstheme="minorEastAsia"/>
                <w:color w:val="000000"/>
                <w:szCs w:val="21"/>
              </w:rPr>
            </w:pPr>
          </w:p>
        </w:tc>
        <w:tc>
          <w:tcPr>
            <w:tcW w:w="7905" w:type="dxa"/>
          </w:tcPr>
          <w:p w14:paraId="7219A578">
            <w:pPr>
              <w:rPr>
                <w:rFonts w:asciiTheme="minorEastAsia" w:hAnsiTheme="minorEastAsia" w:cstheme="minorEastAsia"/>
                <w:bCs/>
                <w:color w:val="000000"/>
                <w:kern w:val="0"/>
                <w:szCs w:val="21"/>
              </w:rPr>
            </w:pPr>
            <w:r>
              <w:rPr>
                <w:rFonts w:hint="eastAsia" w:asciiTheme="minorEastAsia" w:hAnsiTheme="minorEastAsia" w:cstheme="minorEastAsia"/>
                <w:bCs/>
                <w:color w:val="000000"/>
                <w:kern w:val="0"/>
                <w:szCs w:val="21"/>
              </w:rPr>
              <w:t>支持</w:t>
            </w:r>
            <w:r>
              <w:rPr>
                <w:rFonts w:hint="eastAsia" w:asciiTheme="minorEastAsia" w:hAnsiTheme="minorEastAsia" w:cstheme="minorEastAsia"/>
                <w:color w:val="000000"/>
                <w:szCs w:val="21"/>
              </w:rPr>
              <w:t>将收集到的日志转发，当原始日志设备无法设置多个日志服务器时，可以通过本系统的日志转发功能将日志转发到其他日志存储设备</w:t>
            </w:r>
          </w:p>
        </w:tc>
      </w:tr>
      <w:tr w14:paraId="2B496DB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541" w:type="dxa"/>
            <w:vMerge w:val="continue"/>
          </w:tcPr>
          <w:p w14:paraId="5F7CEB0B">
            <w:pPr>
              <w:jc w:val="center"/>
              <w:rPr>
                <w:rFonts w:asciiTheme="minorEastAsia" w:hAnsiTheme="minorEastAsia" w:cstheme="minorEastAsia"/>
                <w:color w:val="000000"/>
                <w:szCs w:val="21"/>
              </w:rPr>
            </w:pPr>
          </w:p>
        </w:tc>
        <w:tc>
          <w:tcPr>
            <w:tcW w:w="7905" w:type="dxa"/>
          </w:tcPr>
          <w:p w14:paraId="46AB56F7">
            <w:pPr>
              <w:rPr>
                <w:rFonts w:asciiTheme="minorEastAsia" w:hAnsiTheme="minorEastAsia" w:cstheme="minorEastAsia"/>
                <w:bCs/>
                <w:color w:val="000000"/>
                <w:kern w:val="0"/>
                <w:szCs w:val="21"/>
              </w:rPr>
            </w:pPr>
            <w:r>
              <w:rPr>
                <w:rFonts w:hint="eastAsia" w:asciiTheme="minorEastAsia" w:hAnsiTheme="minorEastAsia" w:cstheme="minorEastAsia"/>
                <w:color w:val="000000"/>
                <w:szCs w:val="21"/>
              </w:rPr>
              <w:t>支持对日志样例可进行划词辅助解析，一键生成正则表达式（提供产品功能截图）</w:t>
            </w:r>
          </w:p>
        </w:tc>
      </w:tr>
      <w:tr w14:paraId="24FD577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541" w:type="dxa"/>
            <w:vMerge w:val="continue"/>
          </w:tcPr>
          <w:p w14:paraId="3AC1B7AC">
            <w:pPr>
              <w:jc w:val="center"/>
              <w:rPr>
                <w:rFonts w:asciiTheme="minorEastAsia" w:hAnsiTheme="minorEastAsia" w:cstheme="minorEastAsia"/>
                <w:color w:val="000000"/>
                <w:szCs w:val="21"/>
              </w:rPr>
            </w:pPr>
          </w:p>
        </w:tc>
        <w:tc>
          <w:tcPr>
            <w:tcW w:w="7905" w:type="dxa"/>
          </w:tcPr>
          <w:p w14:paraId="24084045">
            <w:pPr>
              <w:rPr>
                <w:rFonts w:asciiTheme="minorEastAsia" w:hAnsiTheme="minorEastAsia" w:cstheme="minorEastAsia"/>
                <w:bCs/>
                <w:color w:val="000000"/>
                <w:kern w:val="0"/>
                <w:szCs w:val="21"/>
              </w:rPr>
            </w:pPr>
            <w:r>
              <w:rPr>
                <w:rFonts w:hint="eastAsia" w:asciiTheme="minorEastAsia" w:hAnsiTheme="minorEastAsia" w:cstheme="minorEastAsia"/>
                <w:bCs/>
                <w:color w:val="000000"/>
                <w:kern w:val="0"/>
                <w:szCs w:val="21"/>
              </w:rPr>
              <w:t>支持对收集到的日志进行解析（标准化、归一化），对未解析的日志源的日志内容，免费向用户定制解析规则，适配结果向用户提供演示说明。</w:t>
            </w:r>
          </w:p>
        </w:tc>
      </w:tr>
      <w:tr w14:paraId="302B0AF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541" w:type="dxa"/>
            <w:vMerge w:val="continue"/>
          </w:tcPr>
          <w:p w14:paraId="377B1B0D">
            <w:pPr>
              <w:jc w:val="center"/>
              <w:rPr>
                <w:rFonts w:asciiTheme="minorEastAsia" w:hAnsiTheme="minorEastAsia" w:cstheme="minorEastAsia"/>
                <w:color w:val="000000"/>
                <w:szCs w:val="21"/>
              </w:rPr>
            </w:pPr>
          </w:p>
        </w:tc>
        <w:tc>
          <w:tcPr>
            <w:tcW w:w="7905" w:type="dxa"/>
          </w:tcPr>
          <w:p w14:paraId="1012EDB7">
            <w:pPr>
              <w:rPr>
                <w:rFonts w:asciiTheme="minorEastAsia" w:hAnsiTheme="minorEastAsia" w:cstheme="minorEastAsia"/>
                <w:bCs/>
                <w:color w:val="000000"/>
                <w:kern w:val="0"/>
                <w:szCs w:val="21"/>
              </w:rPr>
            </w:pPr>
            <w:r>
              <w:rPr>
                <w:rFonts w:hint="eastAsia" w:asciiTheme="minorEastAsia" w:hAnsiTheme="minorEastAsia" w:cstheme="minorEastAsia"/>
                <w:bCs/>
                <w:color w:val="000000"/>
                <w:kern w:val="0"/>
                <w:szCs w:val="21"/>
              </w:rPr>
              <w:t>★支持</w:t>
            </w:r>
            <w:r>
              <w:rPr>
                <w:rFonts w:hint="eastAsia" w:asciiTheme="minorEastAsia" w:hAnsiTheme="minorEastAsia" w:cstheme="minorEastAsia"/>
                <w:color w:val="000000"/>
                <w:szCs w:val="21"/>
              </w:rPr>
              <w:t>解析规则性能以界面列表形式显示，可了解解析耗时、解析成功或失败次数等信息（提供产品功能截图）</w:t>
            </w:r>
          </w:p>
        </w:tc>
      </w:tr>
      <w:tr w14:paraId="3A0A801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541" w:type="dxa"/>
            <w:vMerge w:val="continue"/>
          </w:tcPr>
          <w:p w14:paraId="2993D190">
            <w:pPr>
              <w:jc w:val="center"/>
              <w:rPr>
                <w:rFonts w:asciiTheme="minorEastAsia" w:hAnsiTheme="minorEastAsia" w:cstheme="minorEastAsia"/>
                <w:color w:val="000000"/>
                <w:szCs w:val="21"/>
              </w:rPr>
            </w:pPr>
          </w:p>
        </w:tc>
        <w:tc>
          <w:tcPr>
            <w:tcW w:w="7905" w:type="dxa"/>
          </w:tcPr>
          <w:p w14:paraId="29548E51">
            <w:pPr>
              <w:rPr>
                <w:rFonts w:asciiTheme="minorEastAsia" w:hAnsiTheme="minorEastAsia" w:cstheme="minorEastAsia"/>
                <w:bCs/>
                <w:color w:val="000000"/>
                <w:kern w:val="0"/>
                <w:szCs w:val="21"/>
              </w:rPr>
            </w:pPr>
            <w:r>
              <w:rPr>
                <w:rFonts w:hint="eastAsia" w:asciiTheme="minorEastAsia" w:hAnsiTheme="minorEastAsia" w:cstheme="minorEastAsia"/>
                <w:bCs/>
                <w:color w:val="000000"/>
                <w:kern w:val="0"/>
                <w:szCs w:val="21"/>
              </w:rPr>
              <w:t>支持评分功能，可通过设备故障、认证登录、攻击威胁、可用性、系统脆弱性等纬度计算总体安全指数，可以显示总体评分、历史评分。（提供产品功能截图）</w:t>
            </w:r>
          </w:p>
        </w:tc>
      </w:tr>
      <w:tr w14:paraId="1C1A890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541" w:type="dxa"/>
            <w:vMerge w:val="continue"/>
          </w:tcPr>
          <w:p w14:paraId="743587FE">
            <w:pPr>
              <w:jc w:val="center"/>
              <w:rPr>
                <w:rFonts w:asciiTheme="minorEastAsia" w:hAnsiTheme="minorEastAsia" w:cstheme="minorEastAsia"/>
                <w:color w:val="000000"/>
                <w:szCs w:val="21"/>
              </w:rPr>
            </w:pPr>
          </w:p>
        </w:tc>
        <w:tc>
          <w:tcPr>
            <w:tcW w:w="7905" w:type="dxa"/>
          </w:tcPr>
          <w:p w14:paraId="4CFFFF40">
            <w:pPr>
              <w:rPr>
                <w:rFonts w:asciiTheme="minorEastAsia" w:hAnsiTheme="minorEastAsia" w:cstheme="minorEastAsia"/>
                <w:bCs/>
                <w:color w:val="000000"/>
                <w:kern w:val="0"/>
                <w:szCs w:val="21"/>
              </w:rPr>
            </w:pPr>
            <w:r>
              <w:rPr>
                <w:rFonts w:hint="eastAsia" w:asciiTheme="minorEastAsia" w:hAnsiTheme="minorEastAsia" w:cstheme="minorEastAsia"/>
                <w:bCs/>
                <w:color w:val="000000"/>
                <w:kern w:val="0"/>
                <w:szCs w:val="21"/>
              </w:rPr>
              <w:t>支持设备异常、漏洞利用、横向渗透、权限提升、命令执行、可疑行为≥6大类50子类的安全分析场景。（提供产品功能截图）</w:t>
            </w:r>
          </w:p>
        </w:tc>
      </w:tr>
      <w:tr w14:paraId="7EAF816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541" w:type="dxa"/>
            <w:vMerge w:val="continue"/>
          </w:tcPr>
          <w:p w14:paraId="4FBCFDF2">
            <w:pPr>
              <w:jc w:val="center"/>
              <w:rPr>
                <w:rFonts w:asciiTheme="minorEastAsia" w:hAnsiTheme="minorEastAsia" w:cstheme="minorEastAsia"/>
                <w:color w:val="000000"/>
                <w:szCs w:val="21"/>
              </w:rPr>
            </w:pPr>
          </w:p>
        </w:tc>
        <w:tc>
          <w:tcPr>
            <w:tcW w:w="7905" w:type="dxa"/>
          </w:tcPr>
          <w:p w14:paraId="41DCBBB8">
            <w:pPr>
              <w:rPr>
                <w:rFonts w:asciiTheme="minorEastAsia" w:hAnsiTheme="minorEastAsia" w:cstheme="minorEastAsia"/>
                <w:bCs/>
                <w:color w:val="000000"/>
                <w:kern w:val="0"/>
                <w:szCs w:val="21"/>
              </w:rPr>
            </w:pPr>
            <w:r>
              <w:rPr>
                <w:rFonts w:hint="eastAsia" w:asciiTheme="minorEastAsia" w:hAnsiTheme="minorEastAsia" w:cstheme="minorEastAsia"/>
                <w:bCs/>
                <w:color w:val="000000"/>
                <w:kern w:val="0"/>
                <w:szCs w:val="21"/>
              </w:rPr>
              <w:t>★支持通过资产、安全知识库、弱点库三个维度分析事件是否存在威胁，并形成关联事件。（提供带CMA或CNAS标志的检测报告证明）</w:t>
            </w:r>
          </w:p>
        </w:tc>
      </w:tr>
      <w:tr w14:paraId="38B03D3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541" w:type="dxa"/>
            <w:vMerge w:val="continue"/>
          </w:tcPr>
          <w:p w14:paraId="4FB2F562">
            <w:pPr>
              <w:jc w:val="center"/>
              <w:rPr>
                <w:rFonts w:asciiTheme="minorEastAsia" w:hAnsiTheme="minorEastAsia" w:cstheme="minorEastAsia"/>
                <w:color w:val="000000"/>
                <w:szCs w:val="21"/>
              </w:rPr>
            </w:pPr>
          </w:p>
        </w:tc>
        <w:tc>
          <w:tcPr>
            <w:tcW w:w="7905" w:type="dxa"/>
          </w:tcPr>
          <w:p w14:paraId="339282A0">
            <w:pPr>
              <w:rPr>
                <w:rFonts w:asciiTheme="minorEastAsia" w:hAnsiTheme="minorEastAsia" w:cstheme="minorEastAsia"/>
                <w:bCs/>
                <w:color w:val="000000"/>
                <w:kern w:val="0"/>
                <w:szCs w:val="21"/>
              </w:rPr>
            </w:pPr>
            <w:r>
              <w:rPr>
                <w:rFonts w:hint="eastAsia" w:asciiTheme="minorEastAsia" w:hAnsiTheme="minorEastAsia" w:cstheme="minorEastAsia"/>
                <w:bCs/>
                <w:color w:val="000000"/>
                <w:kern w:val="0"/>
                <w:szCs w:val="21"/>
              </w:rPr>
              <w:t>★支持关联规则性能以界面列表形式显示，可了解触发次数、最近一周监控状态等信息（提供产品功能截图）</w:t>
            </w:r>
          </w:p>
        </w:tc>
      </w:tr>
      <w:tr w14:paraId="33BDABE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541" w:type="dxa"/>
            <w:vMerge w:val="restart"/>
          </w:tcPr>
          <w:p w14:paraId="2C2B8F5F">
            <w:pPr>
              <w:jc w:val="center"/>
              <w:rPr>
                <w:rFonts w:asciiTheme="minorEastAsia" w:hAnsiTheme="minorEastAsia" w:cstheme="minorEastAsia"/>
                <w:color w:val="000000"/>
                <w:szCs w:val="21"/>
              </w:rPr>
            </w:pPr>
            <w:r>
              <w:rPr>
                <w:rFonts w:hint="eastAsia" w:asciiTheme="minorEastAsia" w:hAnsiTheme="minorEastAsia" w:cstheme="minorEastAsia"/>
                <w:color w:val="000000"/>
                <w:szCs w:val="21"/>
              </w:rPr>
              <w:t>性能</w:t>
            </w:r>
          </w:p>
          <w:p w14:paraId="7AE40316">
            <w:pPr>
              <w:jc w:val="center"/>
              <w:rPr>
                <w:rFonts w:asciiTheme="minorEastAsia" w:hAnsiTheme="minorEastAsia" w:cstheme="minorEastAsia"/>
                <w:color w:val="000000"/>
                <w:szCs w:val="21"/>
              </w:rPr>
            </w:pPr>
            <w:r>
              <w:rPr>
                <w:rFonts w:hint="eastAsia" w:asciiTheme="minorEastAsia" w:hAnsiTheme="minorEastAsia" w:cstheme="minorEastAsia"/>
                <w:color w:val="000000"/>
                <w:szCs w:val="21"/>
              </w:rPr>
              <w:t>监控</w:t>
            </w:r>
          </w:p>
        </w:tc>
        <w:tc>
          <w:tcPr>
            <w:tcW w:w="7905" w:type="dxa"/>
          </w:tcPr>
          <w:p w14:paraId="507D9A8A">
            <w:pPr>
              <w:rPr>
                <w:rFonts w:asciiTheme="minorEastAsia" w:hAnsiTheme="minorEastAsia" w:cstheme="minorEastAsia"/>
                <w:color w:val="000000"/>
                <w:szCs w:val="21"/>
              </w:rPr>
            </w:pPr>
            <w:r>
              <w:rPr>
                <w:rFonts w:hint="eastAsia" w:asciiTheme="minorEastAsia" w:hAnsiTheme="minorEastAsia" w:cstheme="minorEastAsia"/>
                <w:bCs/>
                <w:color w:val="000000"/>
                <w:kern w:val="0"/>
                <w:szCs w:val="21"/>
              </w:rPr>
              <w:t>★支持在主机上安装Agent程序，监测目标主机的CPU利用率、内存使用率、磁盘使用率、磁盘使用情况、流量等信息。（提供带CMA或CNAS标志的检测报告证明）</w:t>
            </w:r>
          </w:p>
        </w:tc>
      </w:tr>
      <w:tr w14:paraId="01B99FC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541" w:type="dxa"/>
            <w:vMerge w:val="continue"/>
          </w:tcPr>
          <w:p w14:paraId="05850701">
            <w:pPr>
              <w:jc w:val="center"/>
              <w:rPr>
                <w:rFonts w:asciiTheme="minorEastAsia" w:hAnsiTheme="minorEastAsia" w:cstheme="minorEastAsia"/>
                <w:color w:val="000000"/>
                <w:szCs w:val="21"/>
              </w:rPr>
            </w:pPr>
          </w:p>
        </w:tc>
        <w:tc>
          <w:tcPr>
            <w:tcW w:w="7905" w:type="dxa"/>
          </w:tcPr>
          <w:p w14:paraId="4DF62557">
            <w:pPr>
              <w:rPr>
                <w:rFonts w:asciiTheme="minorEastAsia" w:hAnsiTheme="minorEastAsia" w:cstheme="minorEastAsia"/>
                <w:bCs/>
                <w:color w:val="000000"/>
                <w:kern w:val="0"/>
                <w:szCs w:val="21"/>
              </w:rPr>
            </w:pPr>
            <w:r>
              <w:rPr>
                <w:rFonts w:hint="eastAsia" w:asciiTheme="minorEastAsia" w:hAnsiTheme="minorEastAsia" w:cstheme="minorEastAsia"/>
                <w:bCs/>
                <w:color w:val="000000"/>
                <w:kern w:val="0"/>
                <w:szCs w:val="21"/>
              </w:rPr>
              <w:t>支持应用性能历史详情回溯查看</w:t>
            </w:r>
          </w:p>
        </w:tc>
      </w:tr>
      <w:tr w14:paraId="3CBFFC6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541" w:type="dxa"/>
          </w:tcPr>
          <w:p w14:paraId="54ACDDB6">
            <w:pPr>
              <w:jc w:val="center"/>
              <w:rPr>
                <w:rFonts w:asciiTheme="minorEastAsia" w:hAnsiTheme="minorEastAsia" w:cstheme="minorEastAsia"/>
                <w:color w:val="000000"/>
                <w:szCs w:val="21"/>
              </w:rPr>
            </w:pPr>
            <w:r>
              <w:rPr>
                <w:rFonts w:hint="eastAsia" w:asciiTheme="minorEastAsia" w:hAnsiTheme="minorEastAsia" w:cstheme="minorEastAsia"/>
                <w:color w:val="000000"/>
                <w:szCs w:val="21"/>
              </w:rPr>
              <w:t>资产</w:t>
            </w:r>
          </w:p>
          <w:p w14:paraId="46666FD0">
            <w:pPr>
              <w:jc w:val="center"/>
              <w:rPr>
                <w:rFonts w:asciiTheme="minorEastAsia" w:hAnsiTheme="minorEastAsia" w:cstheme="minorEastAsia"/>
                <w:color w:val="000000"/>
                <w:szCs w:val="21"/>
              </w:rPr>
            </w:pPr>
            <w:r>
              <w:rPr>
                <w:rFonts w:hint="eastAsia" w:asciiTheme="minorEastAsia" w:hAnsiTheme="minorEastAsia" w:cstheme="minorEastAsia"/>
                <w:color w:val="000000"/>
                <w:szCs w:val="21"/>
              </w:rPr>
              <w:t>管理</w:t>
            </w:r>
          </w:p>
        </w:tc>
        <w:tc>
          <w:tcPr>
            <w:tcW w:w="7905" w:type="dxa"/>
          </w:tcPr>
          <w:p w14:paraId="5E33E4E2">
            <w:pPr>
              <w:rPr>
                <w:rFonts w:asciiTheme="minorEastAsia" w:hAnsiTheme="minorEastAsia" w:cstheme="minorEastAsia"/>
                <w:color w:val="000000"/>
                <w:szCs w:val="21"/>
              </w:rPr>
            </w:pPr>
            <w:r>
              <w:rPr>
                <w:rFonts w:hint="eastAsia" w:asciiTheme="minorEastAsia" w:hAnsiTheme="minorEastAsia" w:cstheme="minorEastAsia"/>
                <w:bCs/>
                <w:color w:val="000000"/>
                <w:kern w:val="0"/>
                <w:szCs w:val="21"/>
              </w:rPr>
              <w:t>支持</w:t>
            </w:r>
            <w:r>
              <w:rPr>
                <w:rFonts w:hint="eastAsia" w:asciiTheme="minorEastAsia" w:hAnsiTheme="minorEastAsia" w:cstheme="minorEastAsia"/>
                <w:color w:val="000000"/>
                <w:szCs w:val="21"/>
              </w:rPr>
              <w:t>接入日志源资产时，提供自动发现识别能力</w:t>
            </w:r>
          </w:p>
          <w:p w14:paraId="2A159156">
            <w:pPr>
              <w:rPr>
                <w:rFonts w:asciiTheme="minorEastAsia" w:hAnsiTheme="minorEastAsia" w:cstheme="minorEastAsia"/>
                <w:color w:val="000000"/>
                <w:szCs w:val="21"/>
              </w:rPr>
            </w:pPr>
            <w:r>
              <w:rPr>
                <w:rFonts w:hint="eastAsia" w:asciiTheme="minorEastAsia" w:hAnsiTheme="minorEastAsia" w:cstheme="minorEastAsia"/>
                <w:bCs/>
                <w:color w:val="000000"/>
                <w:kern w:val="0"/>
                <w:szCs w:val="21"/>
              </w:rPr>
              <w:t>★支持接入资产拓扑支持按照实际的用户环境进行编辑发布并可以和资产进行绑定。（提供产品功能截图和带CMA或CNAS标志的检测报告证明）</w:t>
            </w:r>
          </w:p>
        </w:tc>
      </w:tr>
      <w:tr w14:paraId="49359E1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95" w:hRule="atLeast"/>
          <w:jc w:val="center"/>
        </w:trPr>
        <w:tc>
          <w:tcPr>
            <w:tcW w:w="1541" w:type="dxa"/>
            <w:vMerge w:val="restart"/>
            <w:vAlign w:val="center"/>
          </w:tcPr>
          <w:p w14:paraId="397F1C4C">
            <w:pPr>
              <w:jc w:val="center"/>
              <w:rPr>
                <w:rFonts w:asciiTheme="minorEastAsia" w:hAnsiTheme="minorEastAsia" w:cstheme="minorEastAsia"/>
                <w:color w:val="000000"/>
                <w:szCs w:val="21"/>
              </w:rPr>
            </w:pPr>
            <w:r>
              <w:rPr>
                <w:rFonts w:hint="eastAsia" w:asciiTheme="minorEastAsia" w:hAnsiTheme="minorEastAsia" w:cstheme="minorEastAsia"/>
                <w:color w:val="000000"/>
                <w:szCs w:val="21"/>
              </w:rPr>
              <w:t>日志</w:t>
            </w:r>
          </w:p>
          <w:p w14:paraId="46E99ACA">
            <w:pPr>
              <w:jc w:val="center"/>
              <w:rPr>
                <w:rFonts w:asciiTheme="minorEastAsia" w:hAnsiTheme="minorEastAsia" w:cstheme="minorEastAsia"/>
                <w:color w:val="000000"/>
                <w:szCs w:val="21"/>
              </w:rPr>
            </w:pPr>
            <w:r>
              <w:rPr>
                <w:rFonts w:hint="eastAsia" w:asciiTheme="minorEastAsia" w:hAnsiTheme="minorEastAsia" w:cstheme="minorEastAsia"/>
                <w:color w:val="000000"/>
                <w:szCs w:val="21"/>
              </w:rPr>
              <w:t>备份</w:t>
            </w:r>
          </w:p>
        </w:tc>
        <w:tc>
          <w:tcPr>
            <w:tcW w:w="7905" w:type="dxa"/>
          </w:tcPr>
          <w:p w14:paraId="34940BA4">
            <w:pPr>
              <w:rPr>
                <w:rFonts w:asciiTheme="minorEastAsia" w:hAnsiTheme="minorEastAsia" w:cstheme="minorEastAsia"/>
                <w:color w:val="000000"/>
                <w:szCs w:val="21"/>
              </w:rPr>
            </w:pPr>
            <w:r>
              <w:rPr>
                <w:rFonts w:hint="eastAsia" w:asciiTheme="minorEastAsia" w:hAnsiTheme="minorEastAsia" w:cstheme="minorEastAsia"/>
                <w:bCs/>
                <w:color w:val="000000"/>
                <w:kern w:val="0"/>
                <w:szCs w:val="21"/>
              </w:rPr>
              <w:t>支持</w:t>
            </w:r>
            <w:r>
              <w:rPr>
                <w:rFonts w:hint="eastAsia" w:asciiTheme="minorEastAsia" w:hAnsiTheme="minorEastAsia" w:cstheme="minorEastAsia"/>
                <w:color w:val="000000"/>
                <w:szCs w:val="21"/>
              </w:rPr>
              <w:t>可设置日志存储备份策略，包括系统日志保存期（天）、磁盘使用率百分比</w:t>
            </w:r>
          </w:p>
          <w:p w14:paraId="5A94EF74">
            <w:pPr>
              <w:rPr>
                <w:rFonts w:asciiTheme="minorEastAsia" w:hAnsiTheme="minorEastAsia" w:cstheme="minorEastAsia"/>
                <w:color w:val="000000"/>
                <w:szCs w:val="21"/>
              </w:rPr>
            </w:pPr>
            <w:r>
              <w:rPr>
                <w:rFonts w:hint="eastAsia" w:asciiTheme="minorEastAsia" w:hAnsiTheme="minorEastAsia" w:cstheme="minorEastAsia"/>
                <w:bCs/>
                <w:color w:val="000000"/>
                <w:kern w:val="0"/>
                <w:szCs w:val="21"/>
              </w:rPr>
              <w:t>支持</w:t>
            </w:r>
            <w:r>
              <w:rPr>
                <w:rFonts w:hint="eastAsia" w:asciiTheme="minorEastAsia" w:hAnsiTheme="minorEastAsia" w:cstheme="minorEastAsia"/>
                <w:color w:val="000000"/>
                <w:szCs w:val="21"/>
              </w:rPr>
              <w:t>日志备份自动传送到远程服务器</w:t>
            </w:r>
          </w:p>
        </w:tc>
      </w:tr>
      <w:tr w14:paraId="5BBB026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541" w:type="dxa"/>
            <w:vMerge w:val="continue"/>
          </w:tcPr>
          <w:p w14:paraId="5B08E951">
            <w:pPr>
              <w:jc w:val="center"/>
              <w:rPr>
                <w:rFonts w:asciiTheme="minorEastAsia" w:hAnsiTheme="minorEastAsia" w:cstheme="minorEastAsia"/>
                <w:color w:val="000000"/>
                <w:szCs w:val="21"/>
              </w:rPr>
            </w:pPr>
          </w:p>
        </w:tc>
        <w:tc>
          <w:tcPr>
            <w:tcW w:w="7905" w:type="dxa"/>
          </w:tcPr>
          <w:p w14:paraId="646E096C">
            <w:pPr>
              <w:rPr>
                <w:rFonts w:asciiTheme="minorEastAsia" w:hAnsiTheme="minorEastAsia" w:cstheme="minorEastAsia"/>
                <w:color w:val="000000"/>
                <w:szCs w:val="21"/>
              </w:rPr>
            </w:pPr>
            <w:r>
              <w:rPr>
                <w:rFonts w:hint="eastAsia" w:asciiTheme="minorEastAsia" w:hAnsiTheme="minorEastAsia" w:cstheme="minorEastAsia"/>
                <w:bCs/>
                <w:color w:val="000000"/>
                <w:kern w:val="0"/>
                <w:szCs w:val="21"/>
              </w:rPr>
              <w:t>支持日志本地备份及恢复</w:t>
            </w:r>
          </w:p>
        </w:tc>
      </w:tr>
      <w:tr w14:paraId="59B0157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541" w:type="dxa"/>
            <w:vMerge w:val="continue"/>
          </w:tcPr>
          <w:p w14:paraId="06ECD5F8">
            <w:pPr>
              <w:jc w:val="center"/>
              <w:rPr>
                <w:rFonts w:asciiTheme="minorEastAsia" w:hAnsiTheme="minorEastAsia" w:cstheme="minorEastAsia"/>
                <w:color w:val="000000"/>
                <w:szCs w:val="21"/>
              </w:rPr>
            </w:pPr>
          </w:p>
        </w:tc>
        <w:tc>
          <w:tcPr>
            <w:tcW w:w="7905" w:type="dxa"/>
          </w:tcPr>
          <w:p w14:paraId="18C982D9">
            <w:pPr>
              <w:rPr>
                <w:rFonts w:asciiTheme="minorEastAsia" w:hAnsiTheme="minorEastAsia" w:cstheme="minorEastAsia"/>
                <w:color w:val="000000"/>
                <w:szCs w:val="21"/>
              </w:rPr>
            </w:pPr>
            <w:r>
              <w:rPr>
                <w:rFonts w:hint="eastAsia" w:asciiTheme="minorEastAsia" w:hAnsiTheme="minorEastAsia" w:cstheme="minorEastAsia"/>
                <w:bCs/>
                <w:color w:val="000000"/>
                <w:kern w:val="0"/>
                <w:szCs w:val="21"/>
              </w:rPr>
              <w:t>支持从远程仓库恢复数据</w:t>
            </w:r>
          </w:p>
        </w:tc>
      </w:tr>
      <w:tr w14:paraId="5C16398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541" w:type="dxa"/>
            <w:vMerge w:val="continue"/>
          </w:tcPr>
          <w:p w14:paraId="4C7CB529">
            <w:pPr>
              <w:jc w:val="center"/>
              <w:rPr>
                <w:rFonts w:asciiTheme="minorEastAsia" w:hAnsiTheme="minorEastAsia" w:cstheme="minorEastAsia"/>
                <w:color w:val="000000"/>
                <w:szCs w:val="21"/>
              </w:rPr>
            </w:pPr>
          </w:p>
        </w:tc>
        <w:tc>
          <w:tcPr>
            <w:tcW w:w="7905" w:type="dxa"/>
          </w:tcPr>
          <w:p w14:paraId="7A164E74">
            <w:pPr>
              <w:rPr>
                <w:rFonts w:asciiTheme="minorEastAsia" w:hAnsiTheme="minorEastAsia" w:cstheme="minorEastAsia"/>
                <w:color w:val="000000"/>
                <w:szCs w:val="21"/>
              </w:rPr>
            </w:pPr>
            <w:r>
              <w:rPr>
                <w:rFonts w:hint="eastAsia" w:asciiTheme="minorEastAsia" w:hAnsiTheme="minorEastAsia" w:cstheme="minorEastAsia"/>
                <w:bCs/>
                <w:color w:val="000000"/>
                <w:kern w:val="0"/>
                <w:szCs w:val="21"/>
              </w:rPr>
              <w:t>支持日志备份自动传送到远程服务器，通过FTP、SAMBA、NFS和FILE等方式。（提供产品功能截图）</w:t>
            </w:r>
          </w:p>
        </w:tc>
      </w:tr>
      <w:tr w14:paraId="1C92D48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541" w:type="dxa"/>
            <w:vMerge w:val="restart"/>
            <w:vAlign w:val="center"/>
          </w:tcPr>
          <w:p w14:paraId="0F8AE76F">
            <w:pPr>
              <w:jc w:val="center"/>
              <w:rPr>
                <w:rFonts w:asciiTheme="minorEastAsia" w:hAnsiTheme="minorEastAsia" w:cstheme="minorEastAsia"/>
                <w:color w:val="000000"/>
                <w:szCs w:val="21"/>
              </w:rPr>
            </w:pPr>
            <w:r>
              <w:rPr>
                <w:rFonts w:hint="eastAsia" w:asciiTheme="minorEastAsia" w:hAnsiTheme="minorEastAsia" w:cstheme="minorEastAsia"/>
                <w:color w:val="000000"/>
                <w:szCs w:val="21"/>
              </w:rPr>
              <w:t>日志</w:t>
            </w:r>
          </w:p>
          <w:p w14:paraId="5C4DCEA0">
            <w:pPr>
              <w:jc w:val="center"/>
              <w:rPr>
                <w:rFonts w:asciiTheme="minorEastAsia" w:hAnsiTheme="minorEastAsia" w:cstheme="minorEastAsia"/>
                <w:color w:val="000000"/>
                <w:szCs w:val="21"/>
              </w:rPr>
            </w:pPr>
            <w:r>
              <w:rPr>
                <w:rFonts w:hint="eastAsia" w:asciiTheme="minorEastAsia" w:hAnsiTheme="minorEastAsia" w:cstheme="minorEastAsia"/>
                <w:color w:val="000000"/>
                <w:szCs w:val="21"/>
              </w:rPr>
              <w:t>查询</w:t>
            </w:r>
          </w:p>
        </w:tc>
        <w:tc>
          <w:tcPr>
            <w:tcW w:w="7905" w:type="dxa"/>
          </w:tcPr>
          <w:p w14:paraId="09920AFF">
            <w:pPr>
              <w:rPr>
                <w:rFonts w:asciiTheme="minorEastAsia" w:hAnsiTheme="minorEastAsia" w:cstheme="minorEastAsia"/>
                <w:color w:val="000000"/>
                <w:szCs w:val="21"/>
              </w:rPr>
            </w:pPr>
            <w:r>
              <w:rPr>
                <w:rFonts w:hint="eastAsia" w:asciiTheme="minorEastAsia" w:hAnsiTheme="minorEastAsia" w:cstheme="minorEastAsia"/>
                <w:bCs/>
                <w:color w:val="000000"/>
                <w:kern w:val="0"/>
                <w:szCs w:val="21"/>
              </w:rPr>
              <w:t>★支持按关键字、组织架构、日志源、源地址、目的地址、事件类型、时间范围、技术方式、设备分类、事件特征、主机名、DNS域名、进程名称、MAC地址、网络区域、地理、协议、表达式、自定义条件等进行告警过滤查询</w:t>
            </w:r>
          </w:p>
          <w:p w14:paraId="3701158A">
            <w:pPr>
              <w:rPr>
                <w:rFonts w:asciiTheme="minorEastAsia" w:hAnsiTheme="minorEastAsia" w:cstheme="minorEastAsia"/>
                <w:color w:val="000000"/>
                <w:szCs w:val="21"/>
              </w:rPr>
            </w:pPr>
            <w:r>
              <w:rPr>
                <w:rFonts w:hint="eastAsia" w:asciiTheme="minorEastAsia" w:hAnsiTheme="minorEastAsia" w:cstheme="minorEastAsia"/>
                <w:bCs/>
                <w:color w:val="000000"/>
                <w:kern w:val="0"/>
                <w:szCs w:val="21"/>
              </w:rPr>
              <w:t>支持</w:t>
            </w:r>
            <w:r>
              <w:rPr>
                <w:rFonts w:hint="eastAsia" w:asciiTheme="minorEastAsia" w:hAnsiTheme="minorEastAsia" w:cstheme="minorEastAsia"/>
                <w:color w:val="000000"/>
                <w:szCs w:val="21"/>
              </w:rPr>
              <w:t>将查询的条件存储为查询模版，方便再次使用（提供产品功能截图）</w:t>
            </w:r>
          </w:p>
        </w:tc>
      </w:tr>
      <w:tr w14:paraId="3797A70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541" w:type="dxa"/>
            <w:vMerge w:val="continue"/>
          </w:tcPr>
          <w:p w14:paraId="392961DE">
            <w:pPr>
              <w:jc w:val="center"/>
              <w:rPr>
                <w:rFonts w:asciiTheme="minorEastAsia" w:hAnsiTheme="minorEastAsia" w:cstheme="minorEastAsia"/>
                <w:color w:val="000000"/>
                <w:szCs w:val="21"/>
              </w:rPr>
            </w:pPr>
          </w:p>
        </w:tc>
        <w:tc>
          <w:tcPr>
            <w:tcW w:w="7905" w:type="dxa"/>
          </w:tcPr>
          <w:p w14:paraId="0C8B0830">
            <w:pPr>
              <w:rPr>
                <w:rFonts w:asciiTheme="minorEastAsia" w:hAnsiTheme="minorEastAsia" w:cstheme="minorEastAsia"/>
                <w:color w:val="000000"/>
                <w:szCs w:val="21"/>
              </w:rPr>
            </w:pPr>
            <w:r>
              <w:rPr>
                <w:rFonts w:hint="eastAsia" w:asciiTheme="minorEastAsia" w:hAnsiTheme="minorEastAsia" w:cstheme="minorEastAsia"/>
                <w:bCs/>
                <w:color w:val="000000"/>
                <w:kern w:val="0"/>
                <w:szCs w:val="21"/>
              </w:rPr>
              <w:t>支持</w:t>
            </w:r>
            <w:r>
              <w:rPr>
                <w:rFonts w:hint="eastAsia" w:asciiTheme="minorEastAsia" w:hAnsiTheme="minorEastAsia" w:cstheme="minorEastAsia"/>
                <w:color w:val="000000"/>
                <w:szCs w:val="21"/>
              </w:rPr>
              <w:t>用任意关键字对所有事件进行高性能全文检索</w:t>
            </w:r>
          </w:p>
        </w:tc>
      </w:tr>
      <w:tr w14:paraId="2863BB9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541" w:type="dxa"/>
            <w:vMerge w:val="continue"/>
          </w:tcPr>
          <w:p w14:paraId="13808ABE">
            <w:pPr>
              <w:jc w:val="center"/>
              <w:rPr>
                <w:rFonts w:asciiTheme="minorEastAsia" w:hAnsiTheme="minorEastAsia" w:cstheme="minorEastAsia"/>
                <w:color w:val="000000"/>
                <w:szCs w:val="21"/>
              </w:rPr>
            </w:pPr>
          </w:p>
        </w:tc>
        <w:tc>
          <w:tcPr>
            <w:tcW w:w="7905" w:type="dxa"/>
          </w:tcPr>
          <w:p w14:paraId="456684CC">
            <w:pPr>
              <w:rPr>
                <w:rFonts w:asciiTheme="minorEastAsia" w:hAnsiTheme="minorEastAsia" w:cstheme="minorEastAsia"/>
                <w:color w:val="000000"/>
                <w:szCs w:val="21"/>
              </w:rPr>
            </w:pPr>
            <w:r>
              <w:rPr>
                <w:rFonts w:hint="eastAsia" w:asciiTheme="minorEastAsia" w:hAnsiTheme="minorEastAsia" w:cstheme="minorEastAsia"/>
                <w:bCs/>
                <w:color w:val="000000"/>
                <w:kern w:val="0"/>
                <w:szCs w:val="21"/>
              </w:rPr>
              <w:t>支持</w:t>
            </w:r>
            <w:r>
              <w:rPr>
                <w:rFonts w:hint="eastAsia" w:asciiTheme="minorEastAsia" w:hAnsiTheme="minorEastAsia" w:cstheme="minorEastAsia"/>
                <w:color w:val="000000"/>
                <w:szCs w:val="21"/>
              </w:rPr>
              <w:t>将查询的条件存储为查询模版，方便再次使用</w:t>
            </w:r>
          </w:p>
        </w:tc>
      </w:tr>
      <w:tr w14:paraId="10B4EF6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541" w:type="dxa"/>
            <w:vMerge w:val="continue"/>
          </w:tcPr>
          <w:p w14:paraId="369678BC">
            <w:pPr>
              <w:jc w:val="center"/>
              <w:rPr>
                <w:rFonts w:asciiTheme="minorEastAsia" w:hAnsiTheme="minorEastAsia" w:cstheme="minorEastAsia"/>
                <w:color w:val="000000"/>
                <w:szCs w:val="21"/>
              </w:rPr>
            </w:pPr>
          </w:p>
        </w:tc>
        <w:tc>
          <w:tcPr>
            <w:tcW w:w="7905" w:type="dxa"/>
          </w:tcPr>
          <w:p w14:paraId="0B5E9504">
            <w:pPr>
              <w:rPr>
                <w:rFonts w:asciiTheme="minorEastAsia" w:hAnsiTheme="minorEastAsia" w:cstheme="minorEastAsia"/>
                <w:color w:val="000000"/>
                <w:szCs w:val="21"/>
              </w:rPr>
            </w:pPr>
            <w:r>
              <w:rPr>
                <w:rFonts w:hint="eastAsia" w:asciiTheme="minorEastAsia" w:hAnsiTheme="minorEastAsia" w:cstheme="minorEastAsia"/>
                <w:bCs/>
                <w:color w:val="000000"/>
                <w:kern w:val="0"/>
                <w:szCs w:val="21"/>
              </w:rPr>
              <w:t>支持</w:t>
            </w:r>
            <w:r>
              <w:rPr>
                <w:rFonts w:hint="eastAsia" w:asciiTheme="minorEastAsia" w:hAnsiTheme="minorEastAsia" w:cstheme="minorEastAsia"/>
                <w:color w:val="000000"/>
                <w:szCs w:val="21"/>
              </w:rPr>
              <w:t>亿级的日志里根据做任意的关键字及其它的检索条件，在秒级里返回查询结果</w:t>
            </w:r>
          </w:p>
        </w:tc>
      </w:tr>
      <w:tr w14:paraId="225E0B5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07" w:hRule="atLeast"/>
          <w:jc w:val="center"/>
        </w:trPr>
        <w:tc>
          <w:tcPr>
            <w:tcW w:w="1541" w:type="dxa"/>
            <w:vMerge w:val="restart"/>
            <w:vAlign w:val="center"/>
          </w:tcPr>
          <w:p w14:paraId="51662A44">
            <w:pPr>
              <w:jc w:val="center"/>
              <w:rPr>
                <w:rFonts w:asciiTheme="minorEastAsia" w:hAnsiTheme="minorEastAsia" w:cstheme="minorEastAsia"/>
                <w:color w:val="000000"/>
                <w:szCs w:val="21"/>
              </w:rPr>
            </w:pPr>
            <w:r>
              <w:rPr>
                <w:rFonts w:hint="eastAsia" w:asciiTheme="minorEastAsia" w:hAnsiTheme="minorEastAsia" w:cstheme="minorEastAsia"/>
                <w:color w:val="000000"/>
                <w:szCs w:val="21"/>
              </w:rPr>
              <w:t>告警</w:t>
            </w:r>
          </w:p>
          <w:p w14:paraId="2B269113">
            <w:pPr>
              <w:jc w:val="center"/>
              <w:rPr>
                <w:rFonts w:asciiTheme="minorEastAsia" w:hAnsiTheme="minorEastAsia" w:cstheme="minorEastAsia"/>
                <w:color w:val="000000"/>
                <w:szCs w:val="21"/>
              </w:rPr>
            </w:pPr>
            <w:r>
              <w:rPr>
                <w:rFonts w:hint="eastAsia" w:asciiTheme="minorEastAsia" w:hAnsiTheme="minorEastAsia" w:cstheme="minorEastAsia"/>
                <w:color w:val="000000"/>
                <w:szCs w:val="21"/>
              </w:rPr>
              <w:t>通知</w:t>
            </w:r>
          </w:p>
        </w:tc>
        <w:tc>
          <w:tcPr>
            <w:tcW w:w="7905" w:type="dxa"/>
          </w:tcPr>
          <w:p w14:paraId="0619944E">
            <w:pPr>
              <w:rPr>
                <w:rFonts w:asciiTheme="minorEastAsia" w:hAnsiTheme="minorEastAsia" w:cstheme="minorEastAsia"/>
                <w:color w:val="000000"/>
                <w:szCs w:val="21"/>
              </w:rPr>
            </w:pPr>
            <w:r>
              <w:rPr>
                <w:rFonts w:hint="eastAsia" w:asciiTheme="minorEastAsia" w:hAnsiTheme="minorEastAsia" w:cstheme="minorEastAsia"/>
                <w:bCs/>
                <w:color w:val="000000"/>
                <w:kern w:val="0"/>
                <w:szCs w:val="21"/>
              </w:rPr>
              <w:t>支持</w:t>
            </w:r>
            <w:r>
              <w:rPr>
                <w:rFonts w:hint="eastAsia" w:asciiTheme="minorEastAsia" w:hAnsiTheme="minorEastAsia" w:cstheme="minorEastAsia"/>
                <w:color w:val="000000"/>
                <w:szCs w:val="21"/>
              </w:rPr>
              <w:t>通过邮件、短信、屏幕显示等进行告警</w:t>
            </w:r>
          </w:p>
        </w:tc>
      </w:tr>
      <w:tr w14:paraId="76319E9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532" w:hRule="atLeast"/>
          <w:jc w:val="center"/>
        </w:trPr>
        <w:tc>
          <w:tcPr>
            <w:tcW w:w="1541" w:type="dxa"/>
            <w:vMerge w:val="continue"/>
          </w:tcPr>
          <w:p w14:paraId="56CC2D50">
            <w:pPr>
              <w:jc w:val="center"/>
              <w:rPr>
                <w:rFonts w:asciiTheme="minorEastAsia" w:hAnsiTheme="minorEastAsia" w:cstheme="minorEastAsia"/>
                <w:color w:val="000000"/>
                <w:szCs w:val="21"/>
              </w:rPr>
            </w:pPr>
          </w:p>
        </w:tc>
        <w:tc>
          <w:tcPr>
            <w:tcW w:w="7905" w:type="dxa"/>
          </w:tcPr>
          <w:p w14:paraId="61969216">
            <w:pPr>
              <w:rPr>
                <w:rFonts w:asciiTheme="minorEastAsia" w:hAnsiTheme="minorEastAsia" w:cstheme="minorEastAsia"/>
                <w:color w:val="000000"/>
                <w:szCs w:val="21"/>
              </w:rPr>
            </w:pPr>
            <w:r>
              <w:rPr>
                <w:rFonts w:hint="eastAsia" w:asciiTheme="minorEastAsia" w:hAnsiTheme="minorEastAsia" w:cstheme="minorEastAsia"/>
                <w:bCs/>
                <w:color w:val="000000"/>
                <w:kern w:val="0"/>
                <w:szCs w:val="21"/>
              </w:rPr>
              <w:t>支持磁盘空间阈值告警，当磁盘使用率达到设定的阈值时可产生并外发告警；资产性能监控异常告警，对于监控的资产系统资源进行监测当指定指标使用率达到设定的阈值时可产生并外发告警；资产状态监控，当资产处于不活跃状态时可产生并外发告警；远程仓库状态监测可告警，当远程仓库可用性检测失败或备份包自动上传失败时可产生并外发告警。（提供产品功能截图）</w:t>
            </w:r>
          </w:p>
        </w:tc>
      </w:tr>
      <w:tr w14:paraId="61B19B5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541" w:type="dxa"/>
          </w:tcPr>
          <w:p w14:paraId="2CAC929C">
            <w:pPr>
              <w:jc w:val="center"/>
              <w:rPr>
                <w:rFonts w:asciiTheme="minorEastAsia" w:hAnsiTheme="minorEastAsia" w:cstheme="minorEastAsia"/>
                <w:color w:val="000000"/>
                <w:szCs w:val="21"/>
              </w:rPr>
            </w:pPr>
            <w:r>
              <w:rPr>
                <w:rFonts w:hint="eastAsia" w:asciiTheme="minorEastAsia" w:hAnsiTheme="minorEastAsia" w:cstheme="minorEastAsia"/>
                <w:color w:val="000000"/>
                <w:szCs w:val="21"/>
              </w:rPr>
              <w:t>综合查询及报表管理</w:t>
            </w:r>
          </w:p>
        </w:tc>
        <w:tc>
          <w:tcPr>
            <w:tcW w:w="7905" w:type="dxa"/>
          </w:tcPr>
          <w:p w14:paraId="41473D60">
            <w:pPr>
              <w:rPr>
                <w:rFonts w:asciiTheme="minorEastAsia" w:hAnsiTheme="minorEastAsia" w:cstheme="minorEastAsia"/>
                <w:color w:val="000000"/>
                <w:szCs w:val="21"/>
              </w:rPr>
            </w:pPr>
            <w:r>
              <w:rPr>
                <w:rFonts w:hint="eastAsia" w:asciiTheme="minorEastAsia" w:hAnsiTheme="minorEastAsia" w:cstheme="minorEastAsia"/>
                <w:bCs/>
                <w:color w:val="000000"/>
                <w:kern w:val="0"/>
                <w:szCs w:val="21"/>
              </w:rPr>
              <w:t>支持</w:t>
            </w:r>
            <w:r>
              <w:rPr>
                <w:rFonts w:hint="eastAsia" w:asciiTheme="minorEastAsia" w:hAnsiTheme="minorEastAsia" w:cstheme="minorEastAsia"/>
                <w:color w:val="000000"/>
                <w:szCs w:val="21"/>
              </w:rPr>
              <w:t>用户自定义报表</w:t>
            </w:r>
          </w:p>
          <w:p w14:paraId="103EA489">
            <w:pPr>
              <w:rPr>
                <w:rFonts w:asciiTheme="minorEastAsia" w:hAnsiTheme="minorEastAsia" w:cstheme="minorEastAsia"/>
                <w:color w:val="000000"/>
                <w:szCs w:val="21"/>
              </w:rPr>
            </w:pPr>
            <w:r>
              <w:rPr>
                <w:rFonts w:hint="eastAsia" w:asciiTheme="minorEastAsia" w:hAnsiTheme="minorEastAsia" w:cstheme="minorEastAsia"/>
                <w:bCs/>
                <w:color w:val="000000"/>
                <w:kern w:val="0"/>
                <w:szCs w:val="21"/>
              </w:rPr>
              <w:t>支持完善的等级保护合规报表</w:t>
            </w:r>
          </w:p>
          <w:p w14:paraId="1C0A78BF">
            <w:pPr>
              <w:rPr>
                <w:rFonts w:asciiTheme="minorEastAsia" w:hAnsiTheme="minorEastAsia" w:cstheme="minorEastAsia"/>
                <w:color w:val="000000"/>
                <w:szCs w:val="21"/>
              </w:rPr>
            </w:pPr>
            <w:r>
              <w:rPr>
                <w:rFonts w:hint="eastAsia" w:asciiTheme="minorEastAsia" w:hAnsiTheme="minorEastAsia" w:cstheme="minorEastAsia"/>
                <w:bCs/>
                <w:color w:val="000000"/>
                <w:kern w:val="0"/>
                <w:szCs w:val="21"/>
              </w:rPr>
              <w:t>支持</w:t>
            </w:r>
            <w:r>
              <w:rPr>
                <w:rFonts w:hint="eastAsia" w:asciiTheme="minorEastAsia" w:hAnsiTheme="minorEastAsia" w:cstheme="minorEastAsia"/>
                <w:color w:val="000000"/>
                <w:szCs w:val="21"/>
              </w:rPr>
              <w:t>自定义的报表支持多个统计维度的数据集合</w:t>
            </w:r>
          </w:p>
          <w:p w14:paraId="519AA3FB">
            <w:pPr>
              <w:rPr>
                <w:rFonts w:asciiTheme="minorEastAsia" w:hAnsiTheme="minorEastAsia" w:cstheme="minorEastAsia"/>
                <w:color w:val="000000"/>
                <w:szCs w:val="21"/>
              </w:rPr>
            </w:pPr>
            <w:r>
              <w:rPr>
                <w:rFonts w:hint="eastAsia" w:asciiTheme="minorEastAsia" w:hAnsiTheme="minorEastAsia" w:cstheme="minorEastAsia"/>
                <w:bCs/>
                <w:color w:val="000000"/>
                <w:kern w:val="0"/>
                <w:szCs w:val="21"/>
              </w:rPr>
              <w:t>支持</w:t>
            </w:r>
            <w:r>
              <w:rPr>
                <w:rFonts w:hint="eastAsia" w:asciiTheme="minorEastAsia" w:hAnsiTheme="minorEastAsia" w:cstheme="minorEastAsia"/>
                <w:color w:val="000000"/>
                <w:szCs w:val="21"/>
              </w:rPr>
              <w:t>报表导出为PDF和Word格式文件</w:t>
            </w:r>
          </w:p>
        </w:tc>
      </w:tr>
      <w:tr w14:paraId="0AB12E5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541" w:type="dxa"/>
            <w:vMerge w:val="restart"/>
            <w:vAlign w:val="center"/>
          </w:tcPr>
          <w:p w14:paraId="5059B38D">
            <w:pPr>
              <w:jc w:val="center"/>
              <w:rPr>
                <w:rFonts w:asciiTheme="minorEastAsia" w:hAnsiTheme="minorEastAsia" w:cstheme="minorEastAsia"/>
                <w:color w:val="000000"/>
                <w:szCs w:val="21"/>
              </w:rPr>
            </w:pPr>
            <w:r>
              <w:rPr>
                <w:rFonts w:hint="eastAsia" w:asciiTheme="minorEastAsia" w:hAnsiTheme="minorEastAsia" w:cstheme="minorEastAsia"/>
                <w:color w:val="000000"/>
                <w:szCs w:val="21"/>
              </w:rPr>
              <w:t>用户</w:t>
            </w:r>
          </w:p>
          <w:p w14:paraId="4AB9C741">
            <w:pPr>
              <w:jc w:val="center"/>
              <w:rPr>
                <w:rFonts w:asciiTheme="minorEastAsia" w:hAnsiTheme="minorEastAsia" w:cstheme="minorEastAsia"/>
                <w:color w:val="000000"/>
                <w:szCs w:val="21"/>
              </w:rPr>
            </w:pPr>
            <w:r>
              <w:rPr>
                <w:rFonts w:hint="eastAsia" w:asciiTheme="minorEastAsia" w:hAnsiTheme="minorEastAsia" w:cstheme="minorEastAsia"/>
                <w:color w:val="000000"/>
                <w:szCs w:val="21"/>
              </w:rPr>
              <w:t>管理</w:t>
            </w:r>
          </w:p>
        </w:tc>
        <w:tc>
          <w:tcPr>
            <w:tcW w:w="7905" w:type="dxa"/>
          </w:tcPr>
          <w:p w14:paraId="477D47FE">
            <w:pPr>
              <w:widowControl/>
              <w:jc w:val="left"/>
              <w:rPr>
                <w:rFonts w:asciiTheme="minorEastAsia" w:hAnsiTheme="minorEastAsia" w:cstheme="minorEastAsia"/>
                <w:color w:val="000000"/>
                <w:szCs w:val="21"/>
              </w:rPr>
            </w:pPr>
            <w:r>
              <w:rPr>
                <w:rFonts w:hint="eastAsia" w:asciiTheme="minorEastAsia" w:hAnsiTheme="minorEastAsia" w:cstheme="minorEastAsia"/>
                <w:bCs/>
                <w:color w:val="000000"/>
                <w:kern w:val="0"/>
                <w:szCs w:val="21"/>
              </w:rPr>
              <w:t>支持</w:t>
            </w:r>
            <w:r>
              <w:rPr>
                <w:rFonts w:hint="eastAsia" w:asciiTheme="minorEastAsia" w:hAnsiTheme="minorEastAsia" w:cstheme="minorEastAsia"/>
                <w:color w:val="000000"/>
                <w:szCs w:val="21"/>
              </w:rPr>
              <w:t>根据三权分立的原则和要求进行职、权分离，对系统本身进行分角色定义，如管理员只负责完成设备的初始配置，规则配置员只负责审计规则的建立，审计员只负责查看相关的审计结果及告警内容；操作审计员只负责完成对系统本身的用户操作日志管理</w:t>
            </w:r>
          </w:p>
        </w:tc>
      </w:tr>
      <w:tr w14:paraId="07AE999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541" w:type="dxa"/>
            <w:vMerge w:val="continue"/>
          </w:tcPr>
          <w:p w14:paraId="72F6A3D4">
            <w:pPr>
              <w:jc w:val="center"/>
              <w:rPr>
                <w:rFonts w:asciiTheme="minorEastAsia" w:hAnsiTheme="minorEastAsia" w:cstheme="minorEastAsia"/>
                <w:color w:val="000000"/>
                <w:szCs w:val="21"/>
              </w:rPr>
            </w:pPr>
          </w:p>
        </w:tc>
        <w:tc>
          <w:tcPr>
            <w:tcW w:w="7905" w:type="dxa"/>
          </w:tcPr>
          <w:p w14:paraId="42DE2C62">
            <w:pPr>
              <w:rPr>
                <w:rFonts w:asciiTheme="minorEastAsia" w:hAnsiTheme="minorEastAsia" w:cstheme="minorEastAsia"/>
                <w:color w:val="000000"/>
                <w:szCs w:val="21"/>
              </w:rPr>
            </w:pPr>
            <w:r>
              <w:rPr>
                <w:rFonts w:hint="eastAsia" w:asciiTheme="minorEastAsia" w:hAnsiTheme="minorEastAsia" w:cstheme="minorEastAsia"/>
                <w:bCs/>
                <w:color w:val="000000"/>
                <w:kern w:val="0"/>
                <w:szCs w:val="21"/>
              </w:rPr>
              <w:t>支持</w:t>
            </w:r>
            <w:r>
              <w:rPr>
                <w:rFonts w:hint="eastAsia" w:asciiTheme="minorEastAsia" w:hAnsiTheme="minorEastAsia" w:cstheme="minorEastAsia"/>
                <w:color w:val="000000"/>
                <w:szCs w:val="21"/>
              </w:rPr>
              <w:t>系统用户采用</w:t>
            </w:r>
            <w:r>
              <w:rPr>
                <w:rFonts w:hint="eastAsia" w:asciiTheme="minorEastAsia" w:hAnsiTheme="minorEastAsia" w:cstheme="minorEastAsia"/>
                <w:bCs/>
                <w:color w:val="000000"/>
                <w:kern w:val="0"/>
                <w:szCs w:val="21"/>
              </w:rPr>
              <w:t>双因子认证登录，双因子认证令牌支持绑定至具体用户</w:t>
            </w:r>
            <w:r>
              <w:rPr>
                <w:rFonts w:hint="eastAsia" w:asciiTheme="minorEastAsia" w:hAnsiTheme="minorEastAsia" w:cstheme="minorEastAsia"/>
                <w:color w:val="000000"/>
                <w:szCs w:val="21"/>
              </w:rPr>
              <w:t>（提供产品功能截图）</w:t>
            </w:r>
          </w:p>
        </w:tc>
      </w:tr>
      <w:tr w14:paraId="66B2DEA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541" w:type="dxa"/>
            <w:vMerge w:val="continue"/>
          </w:tcPr>
          <w:p w14:paraId="7A8E80AE">
            <w:pPr>
              <w:jc w:val="center"/>
              <w:rPr>
                <w:rFonts w:asciiTheme="minorEastAsia" w:hAnsiTheme="minorEastAsia" w:cstheme="minorEastAsia"/>
                <w:color w:val="000000"/>
                <w:szCs w:val="21"/>
              </w:rPr>
            </w:pPr>
          </w:p>
        </w:tc>
        <w:tc>
          <w:tcPr>
            <w:tcW w:w="7905" w:type="dxa"/>
          </w:tcPr>
          <w:p w14:paraId="6B4A3504">
            <w:pPr>
              <w:rPr>
                <w:rFonts w:asciiTheme="minorEastAsia" w:hAnsiTheme="minorEastAsia" w:cstheme="minorEastAsia"/>
                <w:color w:val="000000"/>
                <w:szCs w:val="21"/>
              </w:rPr>
            </w:pPr>
            <w:r>
              <w:rPr>
                <w:rFonts w:hint="eastAsia" w:asciiTheme="minorEastAsia" w:hAnsiTheme="minorEastAsia" w:cstheme="minorEastAsia"/>
                <w:bCs/>
                <w:color w:val="000000"/>
                <w:kern w:val="0"/>
                <w:szCs w:val="21"/>
              </w:rPr>
              <w:t>支持</w:t>
            </w:r>
            <w:r>
              <w:rPr>
                <w:rFonts w:hint="eastAsia" w:asciiTheme="minorEastAsia" w:hAnsiTheme="minorEastAsia" w:cstheme="minorEastAsia"/>
                <w:color w:val="000000"/>
                <w:szCs w:val="21"/>
              </w:rPr>
              <w:t>一键检查系统功能，用于排查系统故障</w:t>
            </w:r>
          </w:p>
        </w:tc>
      </w:tr>
      <w:tr w14:paraId="6E40872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541" w:type="dxa"/>
            <w:vAlign w:val="center"/>
          </w:tcPr>
          <w:p w14:paraId="065FCD87">
            <w:pPr>
              <w:widowControl/>
              <w:jc w:val="center"/>
              <w:rPr>
                <w:rFonts w:asciiTheme="minorEastAsia" w:hAnsiTheme="minorEastAsia" w:cstheme="minorEastAsia"/>
                <w:bCs/>
                <w:color w:val="000000" w:themeColor="text1"/>
                <w:kern w:val="0"/>
                <w:szCs w:val="21"/>
                <w14:textFill>
                  <w14:solidFill>
                    <w14:schemeClr w14:val="tx1"/>
                  </w14:solidFill>
                </w14:textFill>
              </w:rPr>
            </w:pPr>
            <w:r>
              <w:rPr>
                <w:rFonts w:hint="eastAsia" w:asciiTheme="minorEastAsia" w:hAnsiTheme="minorEastAsia" w:cstheme="minorEastAsia"/>
                <w:bCs/>
                <w:color w:val="000000" w:themeColor="text1"/>
                <w:kern w:val="0"/>
                <w:szCs w:val="21"/>
                <w14:textFill>
                  <w14:solidFill>
                    <w14:schemeClr w14:val="tx1"/>
                  </w14:solidFill>
                </w14:textFill>
              </w:rPr>
              <w:t>资质要求</w:t>
            </w:r>
          </w:p>
        </w:tc>
        <w:tc>
          <w:tcPr>
            <w:tcW w:w="7905" w:type="dxa"/>
            <w:vAlign w:val="center"/>
          </w:tcPr>
          <w:p w14:paraId="0567BA2F">
            <w:pPr>
              <w:pStyle w:val="14"/>
              <w:spacing w:line="276" w:lineRule="auto"/>
              <w:jc w:val="left"/>
              <w:rPr>
                <w:rFonts w:ascii="宋体" w:hAnsi="宋体" w:eastAsia="宋体" w:cs="宋体"/>
                <w:sz w:val="20"/>
                <w:szCs w:val="22"/>
              </w:rPr>
            </w:pPr>
            <w:r>
              <w:rPr>
                <w:rFonts w:hint="eastAsia" w:eastAsia="宋体" w:asciiTheme="minorEastAsia" w:hAnsiTheme="minorEastAsia"/>
                <w:bCs/>
                <w:color w:val="000000"/>
                <w:kern w:val="0"/>
                <w:sz w:val="20"/>
              </w:rPr>
              <w:t>产品具有《网络安全专用产品安全检测证书》，需提供证书复印件</w:t>
            </w:r>
          </w:p>
        </w:tc>
      </w:tr>
      <w:tr w14:paraId="3A0B5C1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541" w:type="dxa"/>
            <w:vAlign w:val="center"/>
          </w:tcPr>
          <w:p w14:paraId="4720830F">
            <w:pPr>
              <w:jc w:val="center"/>
              <w:rPr>
                <w:rFonts w:asciiTheme="minorEastAsia" w:hAnsiTheme="minorEastAsia" w:cstheme="minorEastAsia"/>
                <w:bCs/>
                <w:color w:val="000000"/>
                <w:kern w:val="0"/>
                <w:szCs w:val="21"/>
              </w:rPr>
            </w:pPr>
            <w:r>
              <w:rPr>
                <w:rFonts w:hint="eastAsia" w:asciiTheme="minorEastAsia" w:hAnsiTheme="minorEastAsia" w:cstheme="minorEastAsia"/>
                <w:bCs/>
                <w:color w:val="000000"/>
                <w:kern w:val="0"/>
                <w:szCs w:val="21"/>
              </w:rPr>
              <w:t>售后服务</w:t>
            </w:r>
          </w:p>
        </w:tc>
        <w:tc>
          <w:tcPr>
            <w:tcW w:w="7905" w:type="dxa"/>
            <w:vAlign w:val="center"/>
          </w:tcPr>
          <w:p w14:paraId="667B9047">
            <w:pPr>
              <w:rPr>
                <w:rFonts w:asciiTheme="minorEastAsia" w:hAnsiTheme="minorEastAsia" w:cstheme="minorEastAsia"/>
                <w:bCs/>
                <w:color w:val="000000"/>
                <w:kern w:val="0"/>
                <w:szCs w:val="21"/>
              </w:rPr>
            </w:pPr>
            <w:r>
              <w:rPr>
                <w:rFonts w:hint="eastAsia" w:asciiTheme="minorEastAsia" w:hAnsiTheme="minorEastAsia" w:cstheme="minorEastAsia"/>
                <w:bCs/>
                <w:color w:val="000000"/>
                <w:kern w:val="0"/>
                <w:szCs w:val="21"/>
              </w:rPr>
              <w:t>提供硬件3年免费保修，软件3年免费升级的原厂商服务</w:t>
            </w:r>
          </w:p>
        </w:tc>
      </w:tr>
      <w:tr w14:paraId="6432396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541" w:type="dxa"/>
            <w:shd w:val="clear" w:color="auto" w:fill="auto"/>
            <w:vAlign w:val="center"/>
          </w:tcPr>
          <w:p w14:paraId="366C27E7">
            <w:pPr>
              <w:widowControl/>
              <w:jc w:val="center"/>
              <w:rPr>
                <w:rFonts w:ascii="宋体" w:hAnsi="宋体" w:eastAsia="宋体" w:cs="宋体"/>
                <w:sz w:val="20"/>
                <w:szCs w:val="22"/>
              </w:rPr>
            </w:pPr>
            <w:r>
              <w:rPr>
                <w:rFonts w:hint="eastAsia" w:ascii="宋体" w:hAnsi="宋体" w:eastAsia="宋体" w:cs="宋体"/>
                <w:sz w:val="20"/>
                <w:szCs w:val="22"/>
              </w:rPr>
              <w:t>其他要求</w:t>
            </w:r>
            <w:r>
              <w:rPr>
                <w:rFonts w:hint="eastAsia" w:asciiTheme="minorEastAsia" w:hAnsiTheme="minorEastAsia" w:cstheme="minorEastAsia"/>
                <w:szCs w:val="21"/>
              </w:rPr>
              <w:t>▲</w:t>
            </w:r>
          </w:p>
        </w:tc>
        <w:tc>
          <w:tcPr>
            <w:tcW w:w="7905" w:type="dxa"/>
            <w:shd w:val="clear" w:color="auto" w:fill="auto"/>
            <w:vAlign w:val="center"/>
          </w:tcPr>
          <w:p w14:paraId="15228CBA">
            <w:pPr>
              <w:widowControl/>
              <w:jc w:val="left"/>
              <w:rPr>
                <w:rFonts w:ascii="宋体" w:hAnsi="宋体" w:eastAsia="宋体" w:cs="宋体"/>
                <w:sz w:val="20"/>
                <w:szCs w:val="22"/>
              </w:rPr>
            </w:pPr>
            <w:r>
              <w:rPr>
                <w:rFonts w:hint="eastAsia" w:ascii="宋体" w:hAnsi="宋体" w:eastAsia="宋体" w:cs="宋体"/>
                <w:sz w:val="20"/>
                <w:szCs w:val="22"/>
              </w:rPr>
              <w:t>中标后七个工作日内，中标供应商需提供样机或测试环境对上述功能进行逐一测试，测试通过后才能执行合同流程，测试中若发现有虚假应标行为，采购人保留追究厂商及代理商法律责任的权力，并禁止虚假应标者（厂商及代理商）三年内参与招标单位后期所有项目。</w:t>
            </w:r>
          </w:p>
        </w:tc>
      </w:tr>
      <w:bookmarkEnd w:id="0"/>
    </w:tbl>
    <w:p w14:paraId="6E1A64A3">
      <w:pPr>
        <w:pStyle w:val="13"/>
        <w:rPr>
          <w:rFonts w:hint="eastAsia" w:ascii="宋体" w:hAnsi="宋体" w:eastAsia="宋体" w:cs="宋体"/>
          <w:sz w:val="24"/>
          <w:szCs w:val="24"/>
        </w:rPr>
      </w:pPr>
    </w:p>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7A"/>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Tahoma">
    <w:panose1 w:val="020B0604030504040204"/>
    <w:charset w:val="00"/>
    <w:family w:val="swiss"/>
    <w:pitch w:val="default"/>
    <w:sig w:usb0="E1002EFF" w:usb1="C000605B" w:usb2="00000029" w:usb3="00000000" w:csb0="200101FF" w:csb1="20280000"/>
  </w:font>
  <w:font w:name="Cambria">
    <w:panose1 w:val="02040503050406030204"/>
    <w:charset w:val="00"/>
    <w:family w:val="roman"/>
    <w:pitch w:val="default"/>
    <w:sig w:usb0="E00006FF" w:usb1="420024FF" w:usb2="02000000" w:usb3="00000000" w:csb0="2000019F" w:csb1="00000000"/>
  </w:font>
  <w:font w:name="微软雅黑">
    <w:panose1 w:val="020B0503020204020204"/>
    <w:charset w:val="86"/>
    <w:family w:val="swiss"/>
    <w:pitch w:val="default"/>
    <w:sig w:usb0="80000287" w:usb1="2ACF3C50" w:usb2="00000016" w:usb3="00000000" w:csb0="0004001F" w:csb1="00000000"/>
  </w:font>
  <w:font w:name="仿宋_GB2312">
    <w:altName w:val="仿宋"/>
    <w:panose1 w:val="02010609030101010101"/>
    <w:charset w:val="86"/>
    <w:family w:val="modern"/>
    <w:pitch w:val="default"/>
    <w:sig w:usb0="00000000" w:usb1="00000000" w:usb2="00000010" w:usb3="00000000" w:csb0="00040000" w:csb1="00000000"/>
  </w:font>
  <w:font w:name="Microsoft Sans Serif">
    <w:panose1 w:val="020B0604020202020204"/>
    <w:charset w:val="00"/>
    <w:family w:val="swiss"/>
    <w:pitch w:val="default"/>
    <w:sig w:usb0="E5002EFF" w:usb1="C000605B" w:usb2="00000029" w:usb3="00000000" w:csb0="200101FF" w:csb1="20280000"/>
  </w:font>
  <w:font w:name="仿宋">
    <w:panose1 w:val="02010609060101010101"/>
    <w:charset w:val="86"/>
    <w:family w:val="auto"/>
    <w:pitch w:val="default"/>
    <w:sig w:usb0="800002BF" w:usb1="38CF7CFA" w:usb2="00000016" w:usb3="00000000" w:csb0="00040001"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836EB869"/>
    <w:multiLevelType w:val="singleLevel"/>
    <w:tmpl w:val="836EB869"/>
    <w:lvl w:ilvl="0" w:tentative="0">
      <w:start w:val="1"/>
      <w:numFmt w:val="chineseCounting"/>
      <w:suff w:val="nothing"/>
      <w:lvlText w:val="%1、"/>
      <w:lvlJc w:val="left"/>
      <w:rPr>
        <w:rFonts w:hint="eastAsia"/>
      </w:rPr>
    </w:lvl>
  </w:abstractNum>
  <w:abstractNum w:abstractNumId="1">
    <w:nsid w:val="6BCF36B0"/>
    <w:multiLevelType w:val="multilevel"/>
    <w:tmpl w:val="6BCF36B0"/>
    <w:lvl w:ilvl="0" w:tentative="0">
      <w:start w:val="1"/>
      <w:numFmt w:val="decimal"/>
      <w:pStyle w:val="3"/>
      <w:lvlText w:val="%1"/>
      <w:lvlJc w:val="left"/>
      <w:pPr>
        <w:ind w:left="432" w:hanging="432"/>
      </w:pPr>
      <w:rPr>
        <w:rFonts w:hint="eastAsia"/>
      </w:rPr>
    </w:lvl>
    <w:lvl w:ilvl="1" w:tentative="0">
      <w:start w:val="1"/>
      <w:numFmt w:val="decimal"/>
      <w:pStyle w:val="4"/>
      <w:lvlText w:val="%1.%2"/>
      <w:lvlJc w:val="left"/>
      <w:pPr>
        <w:ind w:left="576" w:hanging="576"/>
      </w:pPr>
      <w:rPr>
        <w:b w:val="0"/>
        <w:bCs w:val="0"/>
        <w:i w:val="0"/>
        <w:iCs w:val="0"/>
        <w:caps w:val="0"/>
        <w:smallCaps w:val="0"/>
        <w:strike w:val="0"/>
        <w:dstrike w:val="0"/>
        <w:outline w:val="0"/>
        <w:shadow w:val="0"/>
        <w:emboss w:val="0"/>
        <w:imprint w:val="0"/>
        <w:snapToGrid w:val="0"/>
        <w:vanish w:val="0"/>
        <w:color w:val="000000"/>
        <w:spacing w:val="0"/>
        <w:w w:val="0"/>
        <w:kern w:val="0"/>
        <w:position w:val="0"/>
        <w:sz w:val="0"/>
        <w:szCs w:val="0"/>
        <w:u w:val="none" w:color="000000"/>
        <w:shd w:val="clear" w:color="000000" w:fill="000000"/>
        <w:vertAlign w:val="baseline"/>
        <w:lang w:val="zh-CN" w:eastAsia="zh-CN" w:bidi="zh-CN"/>
      </w:rPr>
    </w:lvl>
    <w:lvl w:ilvl="2" w:tentative="0">
      <w:start w:val="1"/>
      <w:numFmt w:val="decimal"/>
      <w:pStyle w:val="5"/>
      <w:lvlText w:val="%1.%2.%3"/>
      <w:lvlJc w:val="left"/>
      <w:pPr>
        <w:ind w:left="720" w:hanging="720"/>
      </w:pPr>
      <w:rPr>
        <w:rFonts w:hint="eastAsia"/>
        <w:b w:val="0"/>
        <w:bCs w:val="0"/>
        <w:i w:val="0"/>
        <w:iCs w:val="0"/>
        <w:caps w:val="0"/>
        <w:smallCaps w:val="0"/>
        <w:strike w:val="0"/>
        <w:dstrike w:val="0"/>
        <w:outline w:val="0"/>
        <w:shadow w:val="0"/>
        <w:emboss w:val="0"/>
        <w:imprint w:val="0"/>
        <w:snapToGrid w:val="0"/>
        <w:vanish w:val="0"/>
        <w:color w:val="000000"/>
        <w:spacing w:val="0"/>
        <w:w w:val="0"/>
        <w:kern w:val="0"/>
        <w:position w:val="0"/>
        <w:sz w:val="0"/>
        <w:szCs w:val="0"/>
        <w:u w:val="none" w:color="000000"/>
        <w:shd w:val="clear" w:color="000000" w:fill="000000"/>
        <w:vertAlign w:val="baseline"/>
        <w:lang w:val="zh-CN" w:eastAsia="zh-CN" w:bidi="zh-CN"/>
      </w:rPr>
    </w:lvl>
    <w:lvl w:ilvl="3" w:tentative="0">
      <w:start w:val="1"/>
      <w:numFmt w:val="decimal"/>
      <w:pStyle w:val="6"/>
      <w:lvlText w:val="%1.%2.%3.%4"/>
      <w:lvlJc w:val="left"/>
      <w:pPr>
        <w:ind w:left="864" w:hanging="864"/>
      </w:pPr>
      <w:rPr>
        <w:rFonts w:hint="eastAsia"/>
      </w:rPr>
    </w:lvl>
    <w:lvl w:ilvl="4" w:tentative="0">
      <w:start w:val="1"/>
      <w:numFmt w:val="decimal"/>
      <w:pStyle w:val="7"/>
      <w:lvlText w:val="%1.%2.%3.%4.%5"/>
      <w:lvlJc w:val="left"/>
      <w:pPr>
        <w:ind w:left="1008" w:hanging="1008"/>
      </w:pPr>
      <w:rPr>
        <w:rFonts w:hint="eastAsia"/>
      </w:rPr>
    </w:lvl>
    <w:lvl w:ilvl="5" w:tentative="0">
      <w:start w:val="1"/>
      <w:numFmt w:val="decimal"/>
      <w:pStyle w:val="8"/>
      <w:lvlText w:val="%1.%2.%3.%4.%5.%6"/>
      <w:lvlJc w:val="left"/>
      <w:pPr>
        <w:ind w:left="1152" w:hanging="1152"/>
      </w:pPr>
      <w:rPr>
        <w:rFonts w:hint="eastAsia"/>
      </w:rPr>
    </w:lvl>
    <w:lvl w:ilvl="6" w:tentative="0">
      <w:start w:val="1"/>
      <w:numFmt w:val="decimal"/>
      <w:pStyle w:val="9"/>
      <w:lvlText w:val="%1.%2.%3.%4.%5.%6.%7"/>
      <w:lvlJc w:val="left"/>
      <w:pPr>
        <w:ind w:left="1296" w:hanging="1296"/>
      </w:pPr>
      <w:rPr>
        <w:rFonts w:hint="eastAsia"/>
      </w:rPr>
    </w:lvl>
    <w:lvl w:ilvl="7" w:tentative="0">
      <w:start w:val="1"/>
      <w:numFmt w:val="decimal"/>
      <w:pStyle w:val="10"/>
      <w:lvlText w:val="%1.%2.%3.%4.%5.%6.%7.%8"/>
      <w:lvlJc w:val="left"/>
      <w:pPr>
        <w:ind w:left="1440" w:hanging="1440"/>
      </w:pPr>
      <w:rPr>
        <w:rFonts w:hint="eastAsia"/>
      </w:rPr>
    </w:lvl>
    <w:lvl w:ilvl="8" w:tentative="0">
      <w:start w:val="1"/>
      <w:numFmt w:val="decimal"/>
      <w:pStyle w:val="11"/>
      <w:lvlText w:val="%1.%2.%3.%4.%5.%6.%7.%8.%9"/>
      <w:lvlJc w:val="left"/>
      <w:pPr>
        <w:ind w:left="1584" w:hanging="1584"/>
      </w:pPr>
      <w:rPr>
        <w:rFonts w:hint="eastAsia"/>
      </w:r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doNotDisplayPageBoundaries w:val="1"/>
  <w:bordersDoNotSurroundHeader w:val="1"/>
  <w:bordersDoNotSurroundFooter w:val="1"/>
  <w:documentProtection w:enforcement="0"/>
  <w:defaultTabStop w:val="420"/>
  <w:drawingGridVerticalSpacing w:val="156"/>
  <w:noPunctuationKerning w:val="1"/>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YTIwYTkwYzE4YzA2ZWJkNTI0NGI5YWJmNThkNTMzZGYifQ=="/>
  </w:docVars>
  <w:rsids>
    <w:rsidRoot w:val="003B13E2"/>
    <w:rsid w:val="001A3B60"/>
    <w:rsid w:val="003B13E2"/>
    <w:rsid w:val="005276BF"/>
    <w:rsid w:val="0073529F"/>
    <w:rsid w:val="00851677"/>
    <w:rsid w:val="00891DCE"/>
    <w:rsid w:val="00BF52BD"/>
    <w:rsid w:val="00CA33CF"/>
    <w:rsid w:val="00CD7312"/>
    <w:rsid w:val="00DA453F"/>
    <w:rsid w:val="00E25B8A"/>
    <w:rsid w:val="00E41F37"/>
    <w:rsid w:val="00EB743E"/>
    <w:rsid w:val="01966C21"/>
    <w:rsid w:val="03B16AEB"/>
    <w:rsid w:val="04267B2D"/>
    <w:rsid w:val="043F0BEF"/>
    <w:rsid w:val="04412B42"/>
    <w:rsid w:val="0687062B"/>
    <w:rsid w:val="06A905A2"/>
    <w:rsid w:val="06AB256C"/>
    <w:rsid w:val="06EE4206"/>
    <w:rsid w:val="06F37A6F"/>
    <w:rsid w:val="06F51A39"/>
    <w:rsid w:val="07267E44"/>
    <w:rsid w:val="07FD6DF7"/>
    <w:rsid w:val="081163FE"/>
    <w:rsid w:val="0865499C"/>
    <w:rsid w:val="092601C0"/>
    <w:rsid w:val="0AC27E84"/>
    <w:rsid w:val="0AF142C5"/>
    <w:rsid w:val="0BD75BB1"/>
    <w:rsid w:val="0C160487"/>
    <w:rsid w:val="0D740638"/>
    <w:rsid w:val="0D9A50E8"/>
    <w:rsid w:val="0DD2616E"/>
    <w:rsid w:val="0DF02F5A"/>
    <w:rsid w:val="0E476D2C"/>
    <w:rsid w:val="0F7C2CF7"/>
    <w:rsid w:val="0FFC5BE6"/>
    <w:rsid w:val="10207B26"/>
    <w:rsid w:val="104E7E5F"/>
    <w:rsid w:val="106317C1"/>
    <w:rsid w:val="109F7890"/>
    <w:rsid w:val="112A22DF"/>
    <w:rsid w:val="118B7221"/>
    <w:rsid w:val="11FF3C31"/>
    <w:rsid w:val="13561AB1"/>
    <w:rsid w:val="138E124B"/>
    <w:rsid w:val="13CC1D73"/>
    <w:rsid w:val="14603C13"/>
    <w:rsid w:val="14F90946"/>
    <w:rsid w:val="15FA1D81"/>
    <w:rsid w:val="16022AE9"/>
    <w:rsid w:val="166B7621"/>
    <w:rsid w:val="16734728"/>
    <w:rsid w:val="167D5269"/>
    <w:rsid w:val="170F26A3"/>
    <w:rsid w:val="17E256C1"/>
    <w:rsid w:val="180345B7"/>
    <w:rsid w:val="186D58D3"/>
    <w:rsid w:val="18C179CD"/>
    <w:rsid w:val="190B50EC"/>
    <w:rsid w:val="192E4C7B"/>
    <w:rsid w:val="19A835B8"/>
    <w:rsid w:val="1A9F789A"/>
    <w:rsid w:val="1AFA0F74"/>
    <w:rsid w:val="1D091942"/>
    <w:rsid w:val="1D5D4359"/>
    <w:rsid w:val="1F036BF1"/>
    <w:rsid w:val="1F2D1BBE"/>
    <w:rsid w:val="1FAC4585"/>
    <w:rsid w:val="204131A1"/>
    <w:rsid w:val="21130FE1"/>
    <w:rsid w:val="214430CF"/>
    <w:rsid w:val="219519F6"/>
    <w:rsid w:val="21C27025"/>
    <w:rsid w:val="21F754B0"/>
    <w:rsid w:val="223360B0"/>
    <w:rsid w:val="224F650C"/>
    <w:rsid w:val="22C541CF"/>
    <w:rsid w:val="23FF3873"/>
    <w:rsid w:val="24134E54"/>
    <w:rsid w:val="246F652F"/>
    <w:rsid w:val="24D30999"/>
    <w:rsid w:val="24F829C8"/>
    <w:rsid w:val="25630D1B"/>
    <w:rsid w:val="25755A44"/>
    <w:rsid w:val="25F56F08"/>
    <w:rsid w:val="27075144"/>
    <w:rsid w:val="27227E1F"/>
    <w:rsid w:val="28924EE2"/>
    <w:rsid w:val="290E3FAE"/>
    <w:rsid w:val="297665B1"/>
    <w:rsid w:val="2A81520E"/>
    <w:rsid w:val="2AE80DE9"/>
    <w:rsid w:val="2B204A27"/>
    <w:rsid w:val="2B920D55"/>
    <w:rsid w:val="2C0F4794"/>
    <w:rsid w:val="2C1C3440"/>
    <w:rsid w:val="2CAE46E2"/>
    <w:rsid w:val="2D485B6F"/>
    <w:rsid w:val="2E020414"/>
    <w:rsid w:val="2E786A33"/>
    <w:rsid w:val="2FED3B46"/>
    <w:rsid w:val="308A2E69"/>
    <w:rsid w:val="326F5B17"/>
    <w:rsid w:val="329F0927"/>
    <w:rsid w:val="337C2D08"/>
    <w:rsid w:val="34FB796B"/>
    <w:rsid w:val="3619454C"/>
    <w:rsid w:val="37E8067A"/>
    <w:rsid w:val="38272362"/>
    <w:rsid w:val="38340B7F"/>
    <w:rsid w:val="38534E4E"/>
    <w:rsid w:val="396C52DB"/>
    <w:rsid w:val="397C551E"/>
    <w:rsid w:val="39F06F70"/>
    <w:rsid w:val="3A217E73"/>
    <w:rsid w:val="3AD61FCA"/>
    <w:rsid w:val="3B3360B0"/>
    <w:rsid w:val="3B6C2B3C"/>
    <w:rsid w:val="3B84690C"/>
    <w:rsid w:val="3B956DD5"/>
    <w:rsid w:val="3D632551"/>
    <w:rsid w:val="3D7E429F"/>
    <w:rsid w:val="3E86299B"/>
    <w:rsid w:val="3EFF7691"/>
    <w:rsid w:val="3FC1012F"/>
    <w:rsid w:val="40EE65D6"/>
    <w:rsid w:val="4110479E"/>
    <w:rsid w:val="41C71300"/>
    <w:rsid w:val="425B7C9B"/>
    <w:rsid w:val="428716A1"/>
    <w:rsid w:val="444A7FC7"/>
    <w:rsid w:val="467F664E"/>
    <w:rsid w:val="47833F1C"/>
    <w:rsid w:val="47E2253F"/>
    <w:rsid w:val="48C52312"/>
    <w:rsid w:val="49CE64DD"/>
    <w:rsid w:val="4AF01898"/>
    <w:rsid w:val="4AF75CF9"/>
    <w:rsid w:val="4B152DA9"/>
    <w:rsid w:val="4B2E23F0"/>
    <w:rsid w:val="4B8D7117"/>
    <w:rsid w:val="4BA97CC9"/>
    <w:rsid w:val="4BD77D9C"/>
    <w:rsid w:val="4BE578AC"/>
    <w:rsid w:val="4C7B3413"/>
    <w:rsid w:val="4C83676C"/>
    <w:rsid w:val="4DE43F27"/>
    <w:rsid w:val="4EB052CB"/>
    <w:rsid w:val="4FB220CB"/>
    <w:rsid w:val="50504BB7"/>
    <w:rsid w:val="50874A7C"/>
    <w:rsid w:val="50C7131D"/>
    <w:rsid w:val="51606A47"/>
    <w:rsid w:val="51894824"/>
    <w:rsid w:val="5212481A"/>
    <w:rsid w:val="52EF2FFC"/>
    <w:rsid w:val="5520050A"/>
    <w:rsid w:val="55EF09CE"/>
    <w:rsid w:val="57081D47"/>
    <w:rsid w:val="579559F4"/>
    <w:rsid w:val="57A270E0"/>
    <w:rsid w:val="57EB28DD"/>
    <w:rsid w:val="585F75DD"/>
    <w:rsid w:val="58AC2BA6"/>
    <w:rsid w:val="58ED74D9"/>
    <w:rsid w:val="59256E5C"/>
    <w:rsid w:val="59693361"/>
    <w:rsid w:val="5B871DD5"/>
    <w:rsid w:val="5BB71F8E"/>
    <w:rsid w:val="5BC56D23"/>
    <w:rsid w:val="5C9F5A2F"/>
    <w:rsid w:val="5E875C48"/>
    <w:rsid w:val="5F5E78A6"/>
    <w:rsid w:val="60DF51CC"/>
    <w:rsid w:val="61D928CC"/>
    <w:rsid w:val="61E76F9C"/>
    <w:rsid w:val="62586279"/>
    <w:rsid w:val="628F5A13"/>
    <w:rsid w:val="63B03E93"/>
    <w:rsid w:val="646D1D84"/>
    <w:rsid w:val="65C04BF1"/>
    <w:rsid w:val="65CE23AE"/>
    <w:rsid w:val="65D5377D"/>
    <w:rsid w:val="66390881"/>
    <w:rsid w:val="67AA29A7"/>
    <w:rsid w:val="67FC76A6"/>
    <w:rsid w:val="680D18B3"/>
    <w:rsid w:val="686B0145"/>
    <w:rsid w:val="68C27790"/>
    <w:rsid w:val="697C6BB5"/>
    <w:rsid w:val="69912070"/>
    <w:rsid w:val="69BF737C"/>
    <w:rsid w:val="6A042A38"/>
    <w:rsid w:val="6B8D44DA"/>
    <w:rsid w:val="6B911BF6"/>
    <w:rsid w:val="6C042FCD"/>
    <w:rsid w:val="6C550FEE"/>
    <w:rsid w:val="6C676365"/>
    <w:rsid w:val="6D260D22"/>
    <w:rsid w:val="6E1C5249"/>
    <w:rsid w:val="6E2E60E0"/>
    <w:rsid w:val="6F210A63"/>
    <w:rsid w:val="6F894BFD"/>
    <w:rsid w:val="70282A27"/>
    <w:rsid w:val="702C48A1"/>
    <w:rsid w:val="713C4FB8"/>
    <w:rsid w:val="717A163C"/>
    <w:rsid w:val="71816E6E"/>
    <w:rsid w:val="725700E0"/>
    <w:rsid w:val="73060194"/>
    <w:rsid w:val="74933140"/>
    <w:rsid w:val="75273889"/>
    <w:rsid w:val="765B2F9F"/>
    <w:rsid w:val="779416A9"/>
    <w:rsid w:val="77EF67F0"/>
    <w:rsid w:val="78175E36"/>
    <w:rsid w:val="781B342A"/>
    <w:rsid w:val="785A7E98"/>
    <w:rsid w:val="78B97DC3"/>
    <w:rsid w:val="78C17E4E"/>
    <w:rsid w:val="794C1B10"/>
    <w:rsid w:val="79533C02"/>
    <w:rsid w:val="7AB12572"/>
    <w:rsid w:val="7B193A89"/>
    <w:rsid w:val="7B9A04D8"/>
    <w:rsid w:val="7BC65BA9"/>
    <w:rsid w:val="7C290862"/>
    <w:rsid w:val="7CF90201"/>
    <w:rsid w:val="7D123B4E"/>
    <w:rsid w:val="7D364FB1"/>
    <w:rsid w:val="7DED1FB1"/>
    <w:rsid w:val="7E9C0E44"/>
    <w:rsid w:val="7FDE17CD"/>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9" w:semiHidden="0" w:name="heading 2"/>
    <w:lsdException w:qFormat="1" w:uiPriority="0" w:semiHidden="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qFormat="1" w:uiPriority="39" w:semiHidden="0"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qFormat="1" w:unhideWhenUsed="0" w:uiPriority="0" w:semiHidden="0" w:name="Normal Indent"/>
    <w:lsdException w:uiPriority="99" w:name="footnote text"/>
    <w:lsdException w:uiPriority="99" w:name="annotation text"/>
    <w:lsdException w:qFormat="1" w:uiPriority="99" w:semiHidden="0" w:name="header"/>
    <w:lsdException w:qFormat="1"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qFormat="1" w:unhideWhenUsed="0" w:uiPriority="0" w:semiHidden="0"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qFormat="1" w:unhideWhenUsed="0" w:uiPriority="0" w:semiHidden="0" w:name="Body Text Indent 2"/>
    <w:lsdException w:uiPriority="99" w:name="Body Text Indent 3"/>
    <w:lsdException w:uiPriority="99" w:name="Block Text"/>
    <w:lsdException w:uiPriority="99"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qFormat="1" w:unhideWhenUsed="0" w:uiPriority="0" w:semiHidden="0" w:name="Plain Text"/>
    <w:lsdException w:uiPriority="99" w:name="E-mail Signature"/>
    <w:lsdException w:qFormat="1" w:uiPriority="99" w:semiHidden="0"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uiPriority="99" w:name="Balloon Text"/>
    <w:lsdException w:qFormat="1" w:unhideWhenUsed="0" w:uiPriority="3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0"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qFormat/>
    <w:uiPriority w:val="0"/>
    <w:pPr>
      <w:widowControl w:val="0"/>
      <w:jc w:val="both"/>
    </w:pPr>
    <w:rPr>
      <w:rFonts w:asciiTheme="minorHAnsi" w:hAnsiTheme="minorHAnsi" w:eastAsiaTheme="minorEastAsia" w:cstheme="minorBidi"/>
      <w:kern w:val="2"/>
      <w:sz w:val="21"/>
      <w:szCs w:val="22"/>
      <w:lang w:val="en-US" w:eastAsia="zh-CN" w:bidi="ar-SA"/>
    </w:rPr>
  </w:style>
  <w:style w:type="paragraph" w:styleId="3">
    <w:name w:val="heading 1"/>
    <w:basedOn w:val="1"/>
    <w:next w:val="1"/>
    <w:link w:val="25"/>
    <w:qFormat/>
    <w:uiPriority w:val="0"/>
    <w:pPr>
      <w:keepNext/>
      <w:keepLines/>
      <w:widowControl/>
      <w:numPr>
        <w:ilvl w:val="0"/>
        <w:numId w:val="1"/>
      </w:numPr>
      <w:adjustRightInd w:val="0"/>
      <w:snapToGrid w:val="0"/>
      <w:spacing w:line="360" w:lineRule="auto"/>
      <w:jc w:val="left"/>
      <w:outlineLvl w:val="0"/>
    </w:pPr>
    <w:rPr>
      <w:rFonts w:ascii="Tahoma" w:hAnsi="Tahoma" w:cs="Times New Roman"/>
      <w:b/>
      <w:bCs/>
      <w:kern w:val="44"/>
      <w:sz w:val="28"/>
      <w:szCs w:val="44"/>
    </w:rPr>
  </w:style>
  <w:style w:type="paragraph" w:styleId="4">
    <w:name w:val="heading 2"/>
    <w:basedOn w:val="1"/>
    <w:next w:val="1"/>
    <w:link w:val="37"/>
    <w:unhideWhenUsed/>
    <w:qFormat/>
    <w:uiPriority w:val="9"/>
    <w:pPr>
      <w:keepNext/>
      <w:keepLines/>
      <w:widowControl/>
      <w:numPr>
        <w:ilvl w:val="1"/>
        <w:numId w:val="1"/>
      </w:numPr>
      <w:adjustRightInd w:val="0"/>
      <w:snapToGrid w:val="0"/>
      <w:spacing w:before="260" w:after="260" w:line="415" w:lineRule="auto"/>
      <w:jc w:val="left"/>
      <w:outlineLvl w:val="1"/>
    </w:pPr>
    <w:rPr>
      <w:rFonts w:ascii="宋体" w:hAnsi="宋体" w:eastAsia="宋体" w:cs="Times New Roman"/>
      <w:b/>
      <w:bCs/>
      <w:kern w:val="0"/>
      <w:sz w:val="24"/>
      <w:szCs w:val="32"/>
    </w:rPr>
  </w:style>
  <w:style w:type="paragraph" w:styleId="5">
    <w:name w:val="heading 3"/>
    <w:basedOn w:val="1"/>
    <w:next w:val="1"/>
    <w:link w:val="27"/>
    <w:unhideWhenUsed/>
    <w:qFormat/>
    <w:uiPriority w:val="0"/>
    <w:pPr>
      <w:keepNext/>
      <w:keepLines/>
      <w:widowControl/>
      <w:numPr>
        <w:ilvl w:val="2"/>
        <w:numId w:val="1"/>
      </w:numPr>
      <w:adjustRightInd w:val="0"/>
      <w:snapToGrid w:val="0"/>
      <w:spacing w:before="260" w:after="260" w:line="415" w:lineRule="auto"/>
      <w:jc w:val="left"/>
      <w:outlineLvl w:val="2"/>
    </w:pPr>
    <w:rPr>
      <w:rFonts w:ascii="宋体" w:hAnsi="宋体" w:eastAsia="宋体" w:cs="Times New Roman"/>
      <w:b/>
      <w:bCs/>
      <w:kern w:val="0"/>
      <w:sz w:val="24"/>
      <w:szCs w:val="32"/>
    </w:rPr>
  </w:style>
  <w:style w:type="paragraph" w:styleId="6">
    <w:name w:val="heading 4"/>
    <w:basedOn w:val="1"/>
    <w:next w:val="1"/>
    <w:link w:val="28"/>
    <w:semiHidden/>
    <w:unhideWhenUsed/>
    <w:qFormat/>
    <w:uiPriority w:val="0"/>
    <w:pPr>
      <w:keepNext/>
      <w:keepLines/>
      <w:widowControl/>
      <w:numPr>
        <w:ilvl w:val="3"/>
        <w:numId w:val="1"/>
      </w:numPr>
      <w:adjustRightInd w:val="0"/>
      <w:snapToGrid w:val="0"/>
      <w:spacing w:before="280" w:after="290" w:line="376" w:lineRule="auto"/>
      <w:jc w:val="left"/>
      <w:outlineLvl w:val="3"/>
    </w:pPr>
    <w:rPr>
      <w:rFonts w:ascii="Cambria" w:hAnsi="Cambria" w:eastAsia="宋体" w:cs="Times New Roman"/>
      <w:b/>
      <w:bCs/>
      <w:kern w:val="0"/>
      <w:sz w:val="28"/>
      <w:szCs w:val="28"/>
    </w:rPr>
  </w:style>
  <w:style w:type="paragraph" w:styleId="7">
    <w:name w:val="heading 5"/>
    <w:basedOn w:val="1"/>
    <w:next w:val="1"/>
    <w:link w:val="29"/>
    <w:semiHidden/>
    <w:unhideWhenUsed/>
    <w:qFormat/>
    <w:uiPriority w:val="0"/>
    <w:pPr>
      <w:keepNext/>
      <w:keepLines/>
      <w:widowControl/>
      <w:numPr>
        <w:ilvl w:val="4"/>
        <w:numId w:val="1"/>
      </w:numPr>
      <w:adjustRightInd w:val="0"/>
      <w:snapToGrid w:val="0"/>
      <w:spacing w:before="280" w:after="290" w:line="376" w:lineRule="auto"/>
      <w:jc w:val="left"/>
      <w:outlineLvl w:val="4"/>
    </w:pPr>
    <w:rPr>
      <w:rFonts w:ascii="Tahoma" w:hAnsi="Tahoma" w:eastAsia="微软雅黑" w:cs="Times New Roman"/>
      <w:b/>
      <w:bCs/>
      <w:kern w:val="0"/>
      <w:sz w:val="28"/>
      <w:szCs w:val="28"/>
    </w:rPr>
  </w:style>
  <w:style w:type="paragraph" w:styleId="8">
    <w:name w:val="heading 6"/>
    <w:basedOn w:val="1"/>
    <w:next w:val="1"/>
    <w:link w:val="30"/>
    <w:semiHidden/>
    <w:unhideWhenUsed/>
    <w:qFormat/>
    <w:uiPriority w:val="0"/>
    <w:pPr>
      <w:keepNext/>
      <w:keepLines/>
      <w:widowControl/>
      <w:numPr>
        <w:ilvl w:val="5"/>
        <w:numId w:val="1"/>
      </w:numPr>
      <w:adjustRightInd w:val="0"/>
      <w:snapToGrid w:val="0"/>
      <w:spacing w:before="240" w:after="64" w:line="320" w:lineRule="auto"/>
      <w:jc w:val="left"/>
      <w:outlineLvl w:val="5"/>
    </w:pPr>
    <w:rPr>
      <w:rFonts w:ascii="Cambria" w:hAnsi="Cambria" w:eastAsia="宋体" w:cs="Times New Roman"/>
      <w:b/>
      <w:bCs/>
      <w:kern w:val="0"/>
      <w:sz w:val="24"/>
      <w:szCs w:val="24"/>
    </w:rPr>
  </w:style>
  <w:style w:type="paragraph" w:styleId="9">
    <w:name w:val="heading 7"/>
    <w:basedOn w:val="1"/>
    <w:next w:val="1"/>
    <w:link w:val="31"/>
    <w:semiHidden/>
    <w:unhideWhenUsed/>
    <w:qFormat/>
    <w:uiPriority w:val="0"/>
    <w:pPr>
      <w:keepNext/>
      <w:keepLines/>
      <w:widowControl/>
      <w:numPr>
        <w:ilvl w:val="6"/>
        <w:numId w:val="1"/>
      </w:numPr>
      <w:adjustRightInd w:val="0"/>
      <w:snapToGrid w:val="0"/>
      <w:spacing w:before="240" w:after="64" w:line="320" w:lineRule="auto"/>
      <w:jc w:val="left"/>
      <w:outlineLvl w:val="6"/>
    </w:pPr>
    <w:rPr>
      <w:rFonts w:ascii="Tahoma" w:hAnsi="Tahoma" w:eastAsia="微软雅黑" w:cs="Times New Roman"/>
      <w:b/>
      <w:bCs/>
      <w:kern w:val="0"/>
      <w:sz w:val="24"/>
      <w:szCs w:val="24"/>
    </w:rPr>
  </w:style>
  <w:style w:type="paragraph" w:styleId="10">
    <w:name w:val="heading 8"/>
    <w:basedOn w:val="1"/>
    <w:next w:val="1"/>
    <w:link w:val="32"/>
    <w:semiHidden/>
    <w:unhideWhenUsed/>
    <w:qFormat/>
    <w:uiPriority w:val="0"/>
    <w:pPr>
      <w:keepNext/>
      <w:keepLines/>
      <w:widowControl/>
      <w:numPr>
        <w:ilvl w:val="7"/>
        <w:numId w:val="1"/>
      </w:numPr>
      <w:adjustRightInd w:val="0"/>
      <w:snapToGrid w:val="0"/>
      <w:spacing w:before="240" w:after="64" w:line="320" w:lineRule="auto"/>
      <w:jc w:val="left"/>
      <w:outlineLvl w:val="7"/>
    </w:pPr>
    <w:rPr>
      <w:rFonts w:ascii="Cambria" w:hAnsi="Cambria" w:eastAsia="宋体" w:cs="Times New Roman"/>
      <w:kern w:val="0"/>
      <w:sz w:val="24"/>
      <w:szCs w:val="24"/>
    </w:rPr>
  </w:style>
  <w:style w:type="paragraph" w:styleId="11">
    <w:name w:val="heading 9"/>
    <w:basedOn w:val="1"/>
    <w:next w:val="1"/>
    <w:link w:val="33"/>
    <w:semiHidden/>
    <w:unhideWhenUsed/>
    <w:qFormat/>
    <w:uiPriority w:val="0"/>
    <w:pPr>
      <w:keepNext/>
      <w:keepLines/>
      <w:widowControl/>
      <w:numPr>
        <w:ilvl w:val="8"/>
        <w:numId w:val="1"/>
      </w:numPr>
      <w:adjustRightInd w:val="0"/>
      <w:snapToGrid w:val="0"/>
      <w:spacing w:before="240" w:after="64" w:line="320" w:lineRule="auto"/>
      <w:jc w:val="left"/>
      <w:outlineLvl w:val="8"/>
    </w:pPr>
    <w:rPr>
      <w:rFonts w:ascii="Cambria" w:hAnsi="Cambria" w:eastAsia="宋体" w:cs="Times New Roman"/>
      <w:kern w:val="0"/>
      <w:szCs w:val="21"/>
    </w:rPr>
  </w:style>
  <w:style w:type="character" w:default="1" w:styleId="21">
    <w:name w:val="Default Paragraph Font"/>
    <w:semiHidden/>
    <w:unhideWhenUsed/>
    <w:qFormat/>
    <w:uiPriority w:val="1"/>
  </w:style>
  <w:style w:type="table" w:default="1" w:styleId="19">
    <w:name w:val="Normal Table"/>
    <w:semiHidden/>
    <w:unhideWhenUsed/>
    <w:qFormat/>
    <w:uiPriority w:val="99"/>
    <w:tblPr>
      <w:tblCellMar>
        <w:top w:w="0" w:type="dxa"/>
        <w:left w:w="108" w:type="dxa"/>
        <w:bottom w:w="0" w:type="dxa"/>
        <w:right w:w="108" w:type="dxa"/>
      </w:tblCellMar>
    </w:tblPr>
  </w:style>
  <w:style w:type="paragraph" w:styleId="2">
    <w:name w:val="toc 2"/>
    <w:basedOn w:val="1"/>
    <w:next w:val="1"/>
    <w:unhideWhenUsed/>
    <w:qFormat/>
    <w:uiPriority w:val="39"/>
    <w:pPr>
      <w:ind w:left="420" w:leftChars="200"/>
    </w:pPr>
  </w:style>
  <w:style w:type="paragraph" w:styleId="12">
    <w:name w:val="Normal Indent"/>
    <w:basedOn w:val="1"/>
    <w:next w:val="1"/>
    <w:qFormat/>
    <w:uiPriority w:val="0"/>
    <w:rPr>
      <w:rFonts w:ascii="Calibri" w:hAnsi="Calibri" w:eastAsia="宋体" w:cs="Times New Roman"/>
    </w:rPr>
  </w:style>
  <w:style w:type="paragraph" w:styleId="13">
    <w:name w:val="Body Text"/>
    <w:basedOn w:val="1"/>
    <w:qFormat/>
    <w:uiPriority w:val="0"/>
    <w:pPr>
      <w:spacing w:after="120"/>
    </w:pPr>
    <w:rPr>
      <w:rFonts w:ascii="Calibri" w:hAnsi="Calibri" w:eastAsia="宋体" w:cs="Times New Roman"/>
    </w:rPr>
  </w:style>
  <w:style w:type="paragraph" w:styleId="14">
    <w:name w:val="Plain Text"/>
    <w:basedOn w:val="1"/>
    <w:qFormat/>
    <w:uiPriority w:val="0"/>
    <w:rPr>
      <w:rFonts w:hAnsi="Courier New" w:cs="Times New Roman"/>
      <w:szCs w:val="20"/>
    </w:rPr>
  </w:style>
  <w:style w:type="paragraph" w:styleId="15">
    <w:name w:val="Body Text Indent 2"/>
    <w:basedOn w:val="1"/>
    <w:qFormat/>
    <w:uiPriority w:val="0"/>
    <w:rPr>
      <w:rFonts w:ascii="Arial" w:hAnsi="Arial" w:eastAsia="仿宋_GB2312"/>
      <w:b/>
    </w:rPr>
  </w:style>
  <w:style w:type="paragraph" w:styleId="16">
    <w:name w:val="footer"/>
    <w:basedOn w:val="1"/>
    <w:link w:val="24"/>
    <w:unhideWhenUsed/>
    <w:qFormat/>
    <w:uiPriority w:val="99"/>
    <w:pPr>
      <w:tabs>
        <w:tab w:val="center" w:pos="4153"/>
        <w:tab w:val="right" w:pos="8306"/>
      </w:tabs>
      <w:snapToGrid w:val="0"/>
      <w:jc w:val="left"/>
    </w:pPr>
    <w:rPr>
      <w:sz w:val="18"/>
      <w:szCs w:val="18"/>
    </w:rPr>
  </w:style>
  <w:style w:type="paragraph" w:styleId="17">
    <w:name w:val="header"/>
    <w:basedOn w:val="1"/>
    <w:link w:val="23"/>
    <w:unhideWhenUsed/>
    <w:qFormat/>
    <w:uiPriority w:val="99"/>
    <w:pPr>
      <w:pBdr>
        <w:bottom w:val="single" w:color="auto" w:sz="6" w:space="1"/>
      </w:pBdr>
      <w:tabs>
        <w:tab w:val="center" w:pos="4153"/>
        <w:tab w:val="right" w:pos="8306"/>
      </w:tabs>
      <w:snapToGrid w:val="0"/>
      <w:jc w:val="center"/>
    </w:pPr>
    <w:rPr>
      <w:sz w:val="18"/>
      <w:szCs w:val="18"/>
    </w:rPr>
  </w:style>
  <w:style w:type="paragraph" w:styleId="18">
    <w:name w:val="Normal (Web)"/>
    <w:basedOn w:val="1"/>
    <w:unhideWhenUsed/>
    <w:qFormat/>
    <w:uiPriority w:val="99"/>
    <w:pPr>
      <w:widowControl/>
      <w:spacing w:before="100" w:beforeAutospacing="1" w:after="100" w:afterAutospacing="1"/>
      <w:jc w:val="left"/>
    </w:pPr>
    <w:rPr>
      <w:rFonts w:ascii="宋体" w:hAnsi="宋体" w:eastAsia="宋体" w:cs="宋体"/>
      <w:kern w:val="0"/>
      <w:sz w:val="24"/>
      <w:szCs w:val="24"/>
    </w:rPr>
  </w:style>
  <w:style w:type="table" w:styleId="20">
    <w:name w:val="Table Grid"/>
    <w:basedOn w:val="19"/>
    <w:qFormat/>
    <w:uiPriority w:val="39"/>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paragraph" w:customStyle="1" w:styleId="22">
    <w:name w:val="正文-公1"/>
    <w:basedOn w:val="1"/>
    <w:qFormat/>
    <w:uiPriority w:val="0"/>
    <w:pPr>
      <w:ind w:firstLine="200" w:firstLineChars="200"/>
    </w:pPr>
    <w:rPr>
      <w:color w:val="000000"/>
    </w:rPr>
  </w:style>
  <w:style w:type="character" w:customStyle="1" w:styleId="23">
    <w:name w:val="页眉 字符"/>
    <w:basedOn w:val="21"/>
    <w:link w:val="17"/>
    <w:qFormat/>
    <w:uiPriority w:val="99"/>
    <w:rPr>
      <w:sz w:val="18"/>
      <w:szCs w:val="18"/>
    </w:rPr>
  </w:style>
  <w:style w:type="character" w:customStyle="1" w:styleId="24">
    <w:name w:val="页脚 字符"/>
    <w:basedOn w:val="21"/>
    <w:link w:val="16"/>
    <w:qFormat/>
    <w:uiPriority w:val="99"/>
    <w:rPr>
      <w:sz w:val="18"/>
      <w:szCs w:val="18"/>
    </w:rPr>
  </w:style>
  <w:style w:type="character" w:customStyle="1" w:styleId="25">
    <w:name w:val="标题 1 字符"/>
    <w:basedOn w:val="21"/>
    <w:link w:val="3"/>
    <w:qFormat/>
    <w:uiPriority w:val="0"/>
    <w:rPr>
      <w:rFonts w:ascii="Tahoma" w:hAnsi="Tahoma" w:cs="Times New Roman"/>
      <w:b/>
      <w:bCs/>
      <w:kern w:val="44"/>
      <w:sz w:val="28"/>
      <w:szCs w:val="44"/>
    </w:rPr>
  </w:style>
  <w:style w:type="character" w:customStyle="1" w:styleId="26">
    <w:name w:val="标题 2 字符"/>
    <w:basedOn w:val="21"/>
    <w:link w:val="4"/>
    <w:qFormat/>
    <w:uiPriority w:val="9"/>
    <w:rPr>
      <w:rFonts w:ascii="宋体" w:hAnsi="宋体" w:eastAsia="宋体" w:cs="Times New Roman"/>
      <w:b/>
      <w:bCs/>
      <w:kern w:val="0"/>
      <w:sz w:val="24"/>
      <w:szCs w:val="32"/>
    </w:rPr>
  </w:style>
  <w:style w:type="character" w:customStyle="1" w:styleId="27">
    <w:name w:val="标题 3 字符"/>
    <w:basedOn w:val="21"/>
    <w:link w:val="5"/>
    <w:qFormat/>
    <w:uiPriority w:val="0"/>
    <w:rPr>
      <w:rFonts w:ascii="宋体" w:hAnsi="宋体" w:eastAsia="宋体" w:cs="Times New Roman"/>
      <w:b/>
      <w:bCs/>
      <w:kern w:val="0"/>
      <w:sz w:val="24"/>
      <w:szCs w:val="32"/>
    </w:rPr>
  </w:style>
  <w:style w:type="character" w:customStyle="1" w:styleId="28">
    <w:name w:val="标题 4 字符"/>
    <w:basedOn w:val="21"/>
    <w:link w:val="6"/>
    <w:semiHidden/>
    <w:qFormat/>
    <w:uiPriority w:val="0"/>
    <w:rPr>
      <w:rFonts w:ascii="Cambria" w:hAnsi="Cambria" w:eastAsia="宋体" w:cs="Times New Roman"/>
      <w:b/>
      <w:bCs/>
      <w:kern w:val="0"/>
      <w:sz w:val="28"/>
      <w:szCs w:val="28"/>
    </w:rPr>
  </w:style>
  <w:style w:type="character" w:customStyle="1" w:styleId="29">
    <w:name w:val="标题 5 字符"/>
    <w:basedOn w:val="21"/>
    <w:link w:val="7"/>
    <w:semiHidden/>
    <w:qFormat/>
    <w:uiPriority w:val="0"/>
    <w:rPr>
      <w:rFonts w:ascii="Tahoma" w:hAnsi="Tahoma" w:eastAsia="微软雅黑" w:cs="Times New Roman"/>
      <w:b/>
      <w:bCs/>
      <w:kern w:val="0"/>
      <w:sz w:val="28"/>
      <w:szCs w:val="28"/>
    </w:rPr>
  </w:style>
  <w:style w:type="character" w:customStyle="1" w:styleId="30">
    <w:name w:val="标题 6 字符"/>
    <w:basedOn w:val="21"/>
    <w:link w:val="8"/>
    <w:semiHidden/>
    <w:qFormat/>
    <w:uiPriority w:val="0"/>
    <w:rPr>
      <w:rFonts w:ascii="Cambria" w:hAnsi="Cambria" w:eastAsia="宋体" w:cs="Times New Roman"/>
      <w:b/>
      <w:bCs/>
      <w:kern w:val="0"/>
      <w:sz w:val="24"/>
      <w:szCs w:val="24"/>
    </w:rPr>
  </w:style>
  <w:style w:type="character" w:customStyle="1" w:styleId="31">
    <w:name w:val="标题 7 字符"/>
    <w:basedOn w:val="21"/>
    <w:link w:val="9"/>
    <w:semiHidden/>
    <w:qFormat/>
    <w:uiPriority w:val="0"/>
    <w:rPr>
      <w:rFonts w:ascii="Tahoma" w:hAnsi="Tahoma" w:eastAsia="微软雅黑" w:cs="Times New Roman"/>
      <w:b/>
      <w:bCs/>
      <w:kern w:val="0"/>
      <w:sz w:val="24"/>
      <w:szCs w:val="24"/>
    </w:rPr>
  </w:style>
  <w:style w:type="character" w:customStyle="1" w:styleId="32">
    <w:name w:val="标题 8 字符"/>
    <w:basedOn w:val="21"/>
    <w:link w:val="10"/>
    <w:semiHidden/>
    <w:qFormat/>
    <w:uiPriority w:val="0"/>
    <w:rPr>
      <w:rFonts w:ascii="Cambria" w:hAnsi="Cambria" w:eastAsia="宋体" w:cs="Times New Roman"/>
      <w:kern w:val="0"/>
      <w:sz w:val="24"/>
      <w:szCs w:val="24"/>
    </w:rPr>
  </w:style>
  <w:style w:type="character" w:customStyle="1" w:styleId="33">
    <w:name w:val="标题 9 字符"/>
    <w:basedOn w:val="21"/>
    <w:link w:val="11"/>
    <w:semiHidden/>
    <w:qFormat/>
    <w:uiPriority w:val="0"/>
    <w:rPr>
      <w:rFonts w:ascii="Cambria" w:hAnsi="Cambria" w:eastAsia="宋体" w:cs="Times New Roman"/>
      <w:kern w:val="0"/>
      <w:szCs w:val="21"/>
    </w:rPr>
  </w:style>
  <w:style w:type="character" w:customStyle="1" w:styleId="34">
    <w:name w:val="NormalCharacter"/>
    <w:qFormat/>
    <w:uiPriority w:val="0"/>
  </w:style>
  <w:style w:type="paragraph" w:customStyle="1" w:styleId="35">
    <w:name w:val="B表格正文"/>
    <w:basedOn w:val="1"/>
    <w:qFormat/>
    <w:uiPriority w:val="0"/>
    <w:pPr>
      <w:widowControl/>
      <w:jc w:val="left"/>
    </w:pPr>
    <w:rPr>
      <w:rFonts w:ascii="Calibri" w:hAnsi="Calibri" w:eastAsia="黑体" w:cs="Times New Roman"/>
      <w:szCs w:val="21"/>
    </w:rPr>
  </w:style>
  <w:style w:type="paragraph" w:styleId="36">
    <w:name w:val="List Paragraph"/>
    <w:basedOn w:val="1"/>
    <w:qFormat/>
    <w:uiPriority w:val="0"/>
    <w:pPr>
      <w:widowControl/>
      <w:adjustRightInd w:val="0"/>
      <w:snapToGrid w:val="0"/>
      <w:spacing w:after="200"/>
      <w:ind w:firstLine="420" w:firstLineChars="200"/>
      <w:jc w:val="left"/>
    </w:pPr>
    <w:rPr>
      <w:rFonts w:ascii="Tahoma" w:hAnsi="Tahoma" w:eastAsia="微软雅黑" w:cs="Times New Roman"/>
      <w:kern w:val="0"/>
      <w:sz w:val="22"/>
      <w:szCs w:val="22"/>
    </w:rPr>
  </w:style>
  <w:style w:type="character" w:customStyle="1" w:styleId="37">
    <w:name w:val="标题 2 Char"/>
    <w:link w:val="4"/>
    <w:qFormat/>
    <w:uiPriority w:val="0"/>
    <w:rPr>
      <w:rFonts w:ascii="Arial" w:hAnsi="Arial" w:eastAsia="黑体" w:cs="Times New Roman"/>
      <w:b/>
      <w:sz w:val="32"/>
    </w:rPr>
  </w:style>
</w:styles>
</file>

<file path=word/_rels/document.xml.rels><?xml version="1.0" encoding="UTF-8" standalone="yes"?>
<Relationships xmlns="http://schemas.openxmlformats.org/package/2006/relationships"><Relationship Id="rId5" Type="http://schemas.openxmlformats.org/officeDocument/2006/relationships/fontTable" Target="fontTable.xml"/><Relationship Id="rId4" Type="http://schemas.openxmlformats.org/officeDocument/2006/relationships/numbering" Target="numbering.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Company>微软中国</Company>
  <Pages>3</Pages>
  <Words>2503</Words>
  <Characters>2671</Characters>
  <Lines>12</Lines>
  <Paragraphs>3</Paragraphs>
  <TotalTime>0</TotalTime>
  <ScaleCrop>false</ScaleCrop>
  <LinksUpToDate>false</LinksUpToDate>
  <CharactersWithSpaces>2707</CharactersWithSpaces>
  <Application>WPS Office_12.1.0.18608_F1E327BC-269C-435d-A152-05C5408002CA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lastModifiedBy>广</cp:lastModifiedBy>
  <cp:revision>7</cp:revision>
  <dcterms:created xsi:type="dcterms:W3CDTF">2023-09-11T06:44:00Z</dcterms:created>
  <dcterms:modified xsi:type="dcterms:W3CDTF">2024-11-13T00:09:44Z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2052-12.1.0.18608</vt:lpwstr>
  </property>
  <property fmtid="{D5CDD505-2E9C-101B-9397-08002B2CF9AE}" pid="3" name="ICV">
    <vt:lpwstr>84A69B7C42C0420DB9D45F9E61F31D25_13</vt:lpwstr>
  </property>
</Properties>
</file>