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379B0">
      <w:pPr>
        <w:jc w:val="center"/>
        <w:rPr>
          <w:rFonts w:asciiTheme="minorEastAsia" w:hAnsiTheme="minorEastAsia"/>
          <w:b/>
          <w:bCs/>
          <w:sz w:val="32"/>
          <w:szCs w:val="32"/>
        </w:rPr>
      </w:pPr>
      <w:r>
        <w:rPr>
          <w:rFonts w:hint="eastAsia" w:asciiTheme="minorEastAsia" w:hAnsiTheme="minorEastAsia"/>
          <w:b/>
          <w:bCs/>
          <w:sz w:val="32"/>
          <w:szCs w:val="32"/>
          <w:lang w:val="en-US" w:eastAsia="zh-CN"/>
        </w:rPr>
        <w:t>服务器及终端的防护系统采购市场调研公告</w:t>
      </w:r>
    </w:p>
    <w:p w14:paraId="67D36BAE">
      <w:pPr>
        <w:pStyle w:val="16"/>
        <w:rPr>
          <w:rFonts w:hint="eastAsia"/>
        </w:rPr>
      </w:pPr>
    </w:p>
    <w:p w14:paraId="5E800AF6">
      <w:pPr>
        <w:spacing w:line="360" w:lineRule="auto"/>
        <w:ind w:firstLine="480" w:firstLineChars="200"/>
        <w:rPr>
          <w:rFonts w:hint="eastAsia" w:ascii="宋体" w:hAnsi="宋体" w:cs="宋体"/>
          <w:kern w:val="0"/>
          <w:sz w:val="24"/>
        </w:rPr>
      </w:pPr>
      <w:r>
        <w:rPr>
          <w:rFonts w:hint="eastAsia" w:ascii="宋体" w:hAnsi="宋体" w:cs="宋体"/>
          <w:kern w:val="0"/>
          <w:sz w:val="24"/>
        </w:rPr>
        <w:t>丽水市中心医院因业务发展需要，需采购</w:t>
      </w:r>
      <w:r>
        <w:rPr>
          <w:rFonts w:hint="eastAsia" w:ascii="宋体" w:hAnsi="宋体" w:cs="宋体"/>
          <w:kern w:val="0"/>
          <w:sz w:val="24"/>
          <w:lang w:val="en-US" w:eastAsia="zh-CN"/>
        </w:rPr>
        <w:t>服务器及终端的防护系统</w:t>
      </w:r>
      <w:r>
        <w:rPr>
          <w:rFonts w:hint="eastAsia" w:ascii="宋体" w:hAnsi="宋体" w:cs="宋体"/>
          <w:kern w:val="0"/>
          <w:sz w:val="24"/>
        </w:rPr>
        <w:t>，现进行市场调研，欢迎有投标意向且符合资质要求的供应商前来参加。</w:t>
      </w:r>
    </w:p>
    <w:p w14:paraId="713157C8">
      <w:pPr>
        <w:keepNext w:val="0"/>
        <w:keepLines w:val="0"/>
        <w:pageBreakBefore w:val="0"/>
        <w:widowControl w:val="0"/>
        <w:numPr>
          <w:ilvl w:val="0"/>
          <w:numId w:val="3"/>
        </w:numPr>
        <w:kinsoku/>
        <w:wordWrap/>
        <w:overflowPunct/>
        <w:topLinePunct w:val="0"/>
        <w:autoSpaceDE/>
        <w:autoSpaceDN/>
        <w:bidi w:val="0"/>
        <w:adjustRightInd/>
        <w:snapToGrid/>
        <w:spacing w:line="480" w:lineRule="auto"/>
        <w:textAlignment w:val="auto"/>
        <w:rPr>
          <w:rFonts w:hint="eastAsia" w:asciiTheme="minorEastAsia" w:hAnsiTheme="minorEastAsia"/>
          <w:b/>
          <w:bCs/>
          <w:sz w:val="24"/>
          <w:szCs w:val="24"/>
        </w:rPr>
      </w:pPr>
      <w:r>
        <w:rPr>
          <w:rFonts w:hint="eastAsia" w:asciiTheme="minorEastAsia" w:hAnsiTheme="minorEastAsia"/>
          <w:b/>
          <w:bCs/>
          <w:sz w:val="24"/>
          <w:szCs w:val="24"/>
        </w:rPr>
        <w:t>项目</w:t>
      </w:r>
      <w:r>
        <w:rPr>
          <w:rFonts w:hint="eastAsia" w:asciiTheme="minorEastAsia" w:hAnsiTheme="minorEastAsia"/>
          <w:b/>
          <w:bCs/>
          <w:sz w:val="24"/>
          <w:szCs w:val="24"/>
          <w:lang w:val="en-US" w:eastAsia="zh-CN"/>
        </w:rPr>
        <w:t>内容</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2306"/>
        <w:gridCol w:w="932"/>
        <w:gridCol w:w="2088"/>
        <w:gridCol w:w="2088"/>
      </w:tblGrid>
      <w:tr w14:paraId="0792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05" w:type="dxa"/>
            <w:vAlign w:val="center"/>
          </w:tcPr>
          <w:p w14:paraId="0D017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序号</w:t>
            </w:r>
          </w:p>
        </w:tc>
        <w:tc>
          <w:tcPr>
            <w:tcW w:w="2306" w:type="dxa"/>
            <w:vAlign w:val="center"/>
          </w:tcPr>
          <w:p w14:paraId="0CC0DC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项目名称</w:t>
            </w:r>
          </w:p>
        </w:tc>
        <w:tc>
          <w:tcPr>
            <w:tcW w:w="932" w:type="dxa"/>
            <w:vAlign w:val="center"/>
          </w:tcPr>
          <w:p w14:paraId="5DDD4D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单位</w:t>
            </w:r>
          </w:p>
        </w:tc>
        <w:tc>
          <w:tcPr>
            <w:tcW w:w="2088" w:type="dxa"/>
            <w:vAlign w:val="center"/>
          </w:tcPr>
          <w:p w14:paraId="0DF8E3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数量</w:t>
            </w:r>
          </w:p>
        </w:tc>
        <w:tc>
          <w:tcPr>
            <w:tcW w:w="2088" w:type="dxa"/>
            <w:vAlign w:val="center"/>
          </w:tcPr>
          <w:p w14:paraId="57B16D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sz w:val="24"/>
              </w:rPr>
              <w:t>参数</w:t>
            </w:r>
            <w:r>
              <w:rPr>
                <w:rFonts w:ascii="宋体" w:hAnsi="宋体"/>
                <w:sz w:val="24"/>
              </w:rPr>
              <w:t>要求</w:t>
            </w:r>
          </w:p>
        </w:tc>
      </w:tr>
      <w:tr w14:paraId="6300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05" w:type="dxa"/>
            <w:vAlign w:val="center"/>
          </w:tcPr>
          <w:p w14:paraId="4ABF62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2306" w:type="dxa"/>
            <w:vAlign w:val="center"/>
          </w:tcPr>
          <w:p w14:paraId="2B4047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服务器</w:t>
            </w:r>
            <w:bookmarkStart w:id="0" w:name="_GoBack"/>
            <w:bookmarkEnd w:id="0"/>
            <w:r>
              <w:rPr>
                <w:rFonts w:hint="eastAsia" w:asciiTheme="minorEastAsia" w:hAnsiTheme="minorEastAsia"/>
                <w:sz w:val="24"/>
                <w:szCs w:val="24"/>
                <w:lang w:val="en-US" w:eastAsia="zh-CN"/>
              </w:rPr>
              <w:t>及终端的防护系统</w:t>
            </w:r>
          </w:p>
        </w:tc>
        <w:tc>
          <w:tcPr>
            <w:tcW w:w="932" w:type="dxa"/>
            <w:vAlign w:val="center"/>
          </w:tcPr>
          <w:p w14:paraId="5BF548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w:t>
            </w:r>
          </w:p>
        </w:tc>
        <w:tc>
          <w:tcPr>
            <w:tcW w:w="2088" w:type="dxa"/>
            <w:vAlign w:val="center"/>
          </w:tcPr>
          <w:p w14:paraId="6BF4DB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2088" w:type="dxa"/>
            <w:vAlign w:val="center"/>
          </w:tcPr>
          <w:p w14:paraId="13EE9C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cs="宋体"/>
                <w:kern w:val="0"/>
                <w:sz w:val="24"/>
                <w:highlight w:val="none"/>
                <w:lang w:val="en-US" w:eastAsia="zh-CN"/>
              </w:rPr>
              <w:t>见附件一</w:t>
            </w:r>
          </w:p>
        </w:tc>
      </w:tr>
    </w:tbl>
    <w:p w14:paraId="4495353E">
      <w:pPr>
        <w:keepNext w:val="0"/>
        <w:keepLines w:val="0"/>
        <w:pageBreakBefore w:val="0"/>
        <w:widowControl w:val="0"/>
        <w:numPr>
          <w:ilvl w:val="0"/>
          <w:numId w:val="3"/>
        </w:numPr>
        <w:kinsoku/>
        <w:wordWrap/>
        <w:overflowPunct/>
        <w:topLinePunct w:val="0"/>
        <w:autoSpaceDE/>
        <w:autoSpaceDN/>
        <w:bidi w:val="0"/>
        <w:adjustRightInd/>
        <w:snapToGrid/>
        <w:spacing w:line="480" w:lineRule="auto"/>
        <w:textAlignment w:val="auto"/>
        <w:rPr>
          <w:rFonts w:hint="eastAsia" w:cs="微软雅黑" w:asciiTheme="minorEastAsia" w:hAnsiTheme="minorEastAsia"/>
          <w:b/>
          <w:bCs/>
          <w:sz w:val="28"/>
          <w:szCs w:val="28"/>
        </w:rPr>
      </w:pPr>
      <w:r>
        <w:rPr>
          <w:rFonts w:hint="eastAsia" w:ascii="宋体" w:hAnsi="宋体" w:eastAsia="宋体" w:cs="宋体"/>
          <w:b/>
          <w:sz w:val="24"/>
          <w:szCs w:val="24"/>
        </w:rPr>
        <w:t>请有意向的公司按以下要求制作投标资料（一正一副）</w:t>
      </w:r>
    </w:p>
    <w:p w14:paraId="71921710">
      <w:pPr>
        <w:pStyle w:val="20"/>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Style w:val="37"/>
          <w:rFonts w:hint="eastAsia" w:ascii="宋体" w:hAnsi="宋体" w:eastAsia="宋体" w:cs="宋体"/>
          <w:kern w:val="2"/>
          <w:sz w:val="24"/>
          <w:szCs w:val="24"/>
        </w:rPr>
        <w:t>1</w:t>
      </w:r>
      <w:r>
        <w:rPr>
          <w:rStyle w:val="37"/>
          <w:rFonts w:hint="eastAsia" w:cs="宋体"/>
          <w:kern w:val="2"/>
          <w:sz w:val="24"/>
          <w:szCs w:val="24"/>
          <w:lang w:eastAsia="zh-CN"/>
        </w:rPr>
        <w:t>、</w:t>
      </w:r>
      <w:r>
        <w:rPr>
          <w:rFonts w:hint="eastAsia"/>
        </w:rPr>
        <w:t>单位营业执照复印件、法人身份证复印件</w:t>
      </w:r>
    </w:p>
    <w:p w14:paraId="0C8BC4EA">
      <w:pPr>
        <w:pStyle w:val="20"/>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Fonts w:hint="eastAsia" w:ascii="宋体" w:hAnsi="宋体" w:eastAsia="宋体" w:cs="宋体"/>
          <w:sz w:val="24"/>
          <w:szCs w:val="24"/>
        </w:rPr>
        <w:t>2</w:t>
      </w:r>
      <w:r>
        <w:rPr>
          <w:rFonts w:hint="eastAsia" w:cs="宋体"/>
          <w:sz w:val="24"/>
          <w:szCs w:val="24"/>
          <w:lang w:eastAsia="zh-CN"/>
        </w:rPr>
        <w:t>、</w:t>
      </w:r>
      <w:r>
        <w:rPr>
          <w:rFonts w:hint="default"/>
          <w:lang w:val="en-US" w:eastAsia="zh-CN"/>
        </w:rPr>
        <w:t>非法人本人参会的，须提供委托书原件及受委托人身份证复印件</w:t>
      </w:r>
    </w:p>
    <w:p w14:paraId="690E0179">
      <w:pPr>
        <w:pStyle w:val="20"/>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Fonts w:hint="eastAsia" w:ascii="宋体" w:hAnsi="宋体" w:eastAsia="宋体" w:cs="宋体"/>
          <w:sz w:val="24"/>
          <w:szCs w:val="24"/>
        </w:rPr>
        <w:t>3</w:t>
      </w:r>
      <w:r>
        <w:rPr>
          <w:rFonts w:hint="eastAsia" w:cs="宋体"/>
          <w:sz w:val="24"/>
          <w:szCs w:val="24"/>
          <w:lang w:eastAsia="zh-CN"/>
        </w:rPr>
        <w:t>、</w:t>
      </w:r>
      <w:r>
        <w:rPr>
          <w:rFonts w:hint="eastAsia"/>
        </w:rPr>
        <w:t>产品</w:t>
      </w:r>
      <w:r>
        <w:t>介绍</w:t>
      </w:r>
    </w:p>
    <w:p w14:paraId="595B6F33">
      <w:pPr>
        <w:pStyle w:val="20"/>
        <w:shd w:val="clear" w:color="auto" w:fill="FFFFFF"/>
        <w:spacing w:before="0" w:beforeAutospacing="0" w:after="0" w:afterAutospacing="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4</w:t>
      </w:r>
      <w:r>
        <w:rPr>
          <w:rFonts w:hint="eastAsia" w:cs="宋体"/>
          <w:sz w:val="24"/>
          <w:szCs w:val="24"/>
          <w:lang w:eastAsia="zh-CN"/>
        </w:rPr>
        <w:t>、</w:t>
      </w:r>
      <w:r>
        <w:rPr>
          <w:rFonts w:hint="eastAsia" w:ascii="宋体" w:hAnsi="宋体" w:eastAsia="宋体" w:cs="宋体"/>
          <w:sz w:val="24"/>
          <w:szCs w:val="24"/>
        </w:rPr>
        <w:t>投标单位认为需要提供的其他材料（包括服务承诺和经营业绩以及相关证明材料等）</w:t>
      </w:r>
    </w:p>
    <w:p w14:paraId="23C5D5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报价单</w:t>
      </w:r>
    </w:p>
    <w:p w14:paraId="778D8E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以上所有资料均须加盖公司红章，装订成册密封包装，包装袋上注明联系人信息。请有意向的公司于2024年1</w:t>
      </w:r>
      <w:r>
        <w:rPr>
          <w:rFonts w:hint="eastAsia" w:ascii="宋体" w:hAnsi="宋体" w:eastAsia="宋体" w:cs="宋体"/>
          <w:sz w:val="24"/>
          <w:szCs w:val="24"/>
          <w:lang w:val="en-US" w:eastAsia="zh-CN"/>
        </w:rPr>
        <w:t>1</w:t>
      </w:r>
      <w:r>
        <w:rPr>
          <w:rFonts w:hint="eastAsia" w:ascii="宋体" w:hAnsi="宋体" w:eastAsia="宋体" w:cs="宋体"/>
          <w:sz w:val="24"/>
          <w:szCs w:val="24"/>
        </w:rPr>
        <w:t>月</w:t>
      </w:r>
      <w:r>
        <w:rPr>
          <w:rFonts w:hint="eastAsia" w:ascii="宋体" w:hAnsi="宋体" w:eastAsia="宋体" w:cs="宋体"/>
          <w:sz w:val="24"/>
          <w:szCs w:val="24"/>
          <w:lang w:val="en-US" w:eastAsia="zh-CN"/>
        </w:rPr>
        <w:t>26</w:t>
      </w:r>
      <w:r>
        <w:rPr>
          <w:rFonts w:hint="eastAsia" w:ascii="宋体" w:hAnsi="宋体" w:eastAsia="宋体" w:cs="宋体"/>
          <w:sz w:val="24"/>
          <w:szCs w:val="24"/>
        </w:rPr>
        <w:t>日17：00 前将调研资料邮寄或送至丽水市中心医院采购中心。</w:t>
      </w:r>
    </w:p>
    <w:p w14:paraId="31FD6C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洽谈时间另行通知。</w:t>
      </w:r>
    </w:p>
    <w:p w14:paraId="623DFEC2">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商务咨询：采购中心 苏老师 电话:0578-22854</w:t>
      </w:r>
      <w:r>
        <w:rPr>
          <w:rFonts w:hint="eastAsia" w:ascii="宋体" w:hAnsi="宋体" w:eastAsia="宋体" w:cs="宋体"/>
          <w:sz w:val="24"/>
          <w:szCs w:val="24"/>
          <w:lang w:val="en-US" w:eastAsia="zh-CN"/>
        </w:rPr>
        <w:t>70</w:t>
      </w:r>
    </w:p>
    <w:p w14:paraId="7F634C3D">
      <w:pPr>
        <w:pStyle w:val="1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b w:val="0"/>
          <w:bCs/>
          <w:sz w:val="24"/>
          <w:szCs w:val="24"/>
        </w:rPr>
        <w:t xml:space="preserve">技术咨询：信息中心 </w:t>
      </w:r>
      <w:r>
        <w:rPr>
          <w:rFonts w:hint="eastAsia" w:ascii="宋体" w:hAnsi="宋体" w:eastAsia="宋体" w:cs="宋体"/>
          <w:b w:val="0"/>
          <w:bCs/>
          <w:sz w:val="24"/>
          <w:szCs w:val="24"/>
          <w:lang w:val="en-US" w:eastAsia="zh-CN"/>
        </w:rPr>
        <w:t>蒋</w:t>
      </w:r>
      <w:r>
        <w:rPr>
          <w:rFonts w:hint="eastAsia" w:ascii="宋体" w:hAnsi="宋体" w:eastAsia="宋体" w:cs="宋体"/>
          <w:b w:val="0"/>
          <w:sz w:val="24"/>
          <w:szCs w:val="24"/>
        </w:rPr>
        <w:t>老师 电话:0578-2285458</w:t>
      </w:r>
    </w:p>
    <w:p w14:paraId="1F70B2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邮编：323000</w:t>
      </w:r>
    </w:p>
    <w:p w14:paraId="4176F9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联系地址：浙江省丽水市括苍路289号丽水市中心医院采购中心</w:t>
      </w:r>
    </w:p>
    <w:p w14:paraId="0C53E558">
      <w:pPr>
        <w:spacing w:line="360" w:lineRule="auto"/>
        <w:ind w:firstLine="5040" w:firstLineChars="2100"/>
        <w:rPr>
          <w:rFonts w:hint="eastAsia" w:ascii="宋体" w:hAnsi="宋体" w:eastAsia="宋体" w:cs="宋体"/>
          <w:sz w:val="24"/>
          <w:szCs w:val="24"/>
        </w:rPr>
      </w:pPr>
      <w:r>
        <w:rPr>
          <w:rFonts w:hint="eastAsia" w:ascii="宋体" w:hAnsi="宋体" w:eastAsia="宋体" w:cs="宋体"/>
          <w:sz w:val="24"/>
          <w:szCs w:val="24"/>
        </w:rPr>
        <w:t xml:space="preserve"> 2024年1</w:t>
      </w:r>
      <w:r>
        <w:rPr>
          <w:rFonts w:hint="eastAsia" w:ascii="宋体" w:hAnsi="宋体" w:eastAsia="宋体" w:cs="宋体"/>
          <w:sz w:val="24"/>
          <w:szCs w:val="24"/>
          <w:lang w:val="en-US" w:eastAsia="zh-CN"/>
        </w:rPr>
        <w:t>1</w:t>
      </w:r>
      <w:r>
        <w:rPr>
          <w:rFonts w:hint="eastAsia" w:ascii="宋体" w:hAnsi="宋体" w:eastAsia="宋体" w:cs="宋体"/>
          <w:sz w:val="24"/>
          <w:szCs w:val="24"/>
        </w:rPr>
        <w:t>月 1</w:t>
      </w:r>
      <w:r>
        <w:rPr>
          <w:rFonts w:hint="eastAsia" w:ascii="宋体" w:hAnsi="宋体" w:eastAsia="宋体" w:cs="宋体"/>
          <w:sz w:val="24"/>
          <w:szCs w:val="24"/>
          <w:lang w:val="en-US" w:eastAsia="zh-CN"/>
        </w:rPr>
        <w:t>9</w:t>
      </w:r>
      <w:r>
        <w:rPr>
          <w:rFonts w:hint="eastAsia" w:ascii="宋体" w:hAnsi="宋体" w:eastAsia="宋体" w:cs="宋体"/>
          <w:sz w:val="24"/>
          <w:szCs w:val="24"/>
        </w:rPr>
        <w:t>日</w:t>
      </w:r>
    </w:p>
    <w:p w14:paraId="2392B8F1">
      <w:pPr>
        <w:pStyle w:val="12"/>
        <w:rPr>
          <w:rFonts w:hint="eastAsia" w:ascii="宋体" w:hAnsi="宋体" w:eastAsia="宋体" w:cs="宋体"/>
          <w:sz w:val="24"/>
          <w:szCs w:val="24"/>
        </w:rPr>
      </w:pPr>
    </w:p>
    <w:p w14:paraId="42511AD2">
      <w:pPr>
        <w:pStyle w:val="12"/>
        <w:rPr>
          <w:rFonts w:hint="eastAsia" w:ascii="宋体" w:hAnsi="宋体" w:eastAsia="宋体" w:cs="宋体"/>
          <w:sz w:val="24"/>
          <w:szCs w:val="24"/>
        </w:rPr>
      </w:pPr>
    </w:p>
    <w:p w14:paraId="266DC913">
      <w:pPr>
        <w:pStyle w:val="12"/>
        <w:rPr>
          <w:rFonts w:hint="eastAsia" w:ascii="宋体" w:hAnsi="宋体" w:eastAsia="宋体" w:cs="宋体"/>
          <w:sz w:val="24"/>
          <w:szCs w:val="24"/>
        </w:rPr>
      </w:pPr>
    </w:p>
    <w:p w14:paraId="004B7FB5">
      <w:pPr>
        <w:pStyle w:val="12"/>
        <w:rPr>
          <w:rFonts w:hint="eastAsia" w:ascii="宋体" w:hAnsi="宋体" w:eastAsia="宋体" w:cs="宋体"/>
          <w:sz w:val="24"/>
          <w:szCs w:val="24"/>
        </w:rPr>
      </w:pPr>
    </w:p>
    <w:p w14:paraId="25B7F6B7">
      <w:pPr>
        <w:pStyle w:val="12"/>
        <w:rPr>
          <w:rFonts w:hint="eastAsia" w:ascii="宋体" w:hAnsi="宋体" w:eastAsia="宋体" w:cs="宋体"/>
          <w:sz w:val="24"/>
          <w:szCs w:val="24"/>
        </w:rPr>
      </w:pPr>
    </w:p>
    <w:p w14:paraId="7D20B8A7">
      <w:pPr>
        <w:pStyle w:val="12"/>
        <w:rPr>
          <w:rFonts w:hint="eastAsia" w:ascii="宋体" w:hAnsi="宋体" w:eastAsia="宋体" w:cs="宋体"/>
          <w:sz w:val="24"/>
          <w:szCs w:val="24"/>
        </w:rPr>
      </w:pPr>
    </w:p>
    <w:p w14:paraId="484D6327">
      <w:pPr>
        <w:jc w:val="both"/>
        <w:rPr>
          <w:rFonts w:hint="eastAsia" w:ascii="Microsoft Sans Serif" w:hAnsi="Microsoft Sans Serif" w:eastAsia="微软雅黑"/>
          <w:color w:val="000000"/>
          <w:sz w:val="24"/>
          <w:lang w:val="en-US" w:eastAsia="zh-CN"/>
        </w:rPr>
      </w:pPr>
      <w:r>
        <w:rPr>
          <w:rStyle w:val="40"/>
          <w:rFonts w:hint="eastAsia"/>
        </w:rPr>
        <w:t>附件一</w:t>
      </w:r>
      <w:r>
        <w:rPr>
          <w:rStyle w:val="40"/>
          <w:rFonts w:hint="eastAsia"/>
          <w:lang w:val="en-US" w:eastAsia="zh-CN"/>
        </w:rPr>
        <w:t xml:space="preserve"> </w:t>
      </w:r>
      <w:r>
        <w:rPr>
          <w:rFonts w:hint="eastAsia" w:ascii="Microsoft Sans Serif" w:hAnsi="Microsoft Sans Serif" w:eastAsia="微软雅黑"/>
          <w:color w:val="000000"/>
          <w:sz w:val="24"/>
          <w:lang w:val="en-US" w:eastAsia="zh-CN"/>
        </w:rPr>
        <w:t xml:space="preserve">                        </w:t>
      </w:r>
    </w:p>
    <w:tbl>
      <w:tblPr>
        <w:tblStyle w:val="22"/>
        <w:tblW w:w="8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4"/>
        <w:gridCol w:w="6339"/>
      </w:tblGrid>
      <w:tr w14:paraId="110C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tcPr>
          <w:p w14:paraId="78ECABB6">
            <w:pPr>
              <w:pStyle w:val="21"/>
              <w:ind w:firstLine="0" w:firstLineChars="0"/>
              <w:rPr>
                <w:rFonts w:ascii="宋体" w:hAnsi="宋体" w:eastAsia="宋体" w:cs="宋体"/>
                <w:szCs w:val="21"/>
                <w:lang w:val="zh-TW" w:eastAsia="zh-TW"/>
              </w:rPr>
            </w:pPr>
            <w:r>
              <w:rPr>
                <w:rFonts w:hint="eastAsia" w:ascii="宋体" w:hAnsi="宋体" w:eastAsia="宋体" w:cs="宋体"/>
                <w:szCs w:val="21"/>
                <w:lang w:val="zh-TW" w:eastAsia="zh-TW"/>
              </w:rPr>
              <w:t>功能项</w:t>
            </w:r>
          </w:p>
        </w:tc>
        <w:tc>
          <w:tcPr>
            <w:tcW w:w="6339" w:type="dxa"/>
          </w:tcPr>
          <w:p w14:paraId="74DEFA59">
            <w:pPr>
              <w:pStyle w:val="21"/>
              <w:ind w:firstLine="0" w:firstLineChars="0"/>
              <w:rPr>
                <w:rFonts w:ascii="宋体" w:hAnsi="宋体" w:eastAsia="宋体" w:cs="宋体"/>
                <w:szCs w:val="21"/>
                <w:lang w:val="zh-TW"/>
              </w:rPr>
            </w:pPr>
            <w:r>
              <w:rPr>
                <w:rFonts w:hint="eastAsia" w:ascii="宋体" w:hAnsi="宋体" w:eastAsia="宋体" w:cs="宋体"/>
                <w:szCs w:val="21"/>
                <w:lang w:val="zh-TW"/>
              </w:rPr>
              <w:t>技术参数</w:t>
            </w:r>
          </w:p>
        </w:tc>
      </w:tr>
      <w:tr w14:paraId="42B7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47AE2E53">
            <w:pPr>
              <w:pStyle w:val="21"/>
              <w:ind w:firstLine="0" w:firstLineChars="0"/>
              <w:rPr>
                <w:rFonts w:ascii="宋体" w:hAnsi="宋体" w:eastAsia="宋体" w:cs="宋体"/>
                <w:b w:val="0"/>
                <w:bCs/>
                <w:szCs w:val="21"/>
                <w:lang w:val="zh-TW" w:eastAsia="zh-TW"/>
              </w:rPr>
            </w:pPr>
            <w:r>
              <w:rPr>
                <w:rFonts w:hint="eastAsia" w:ascii="宋体" w:hAnsi="宋体" w:eastAsia="宋体" w:cs="宋体"/>
                <w:b w:val="0"/>
                <w:bCs/>
                <w:szCs w:val="21"/>
              </w:rPr>
              <w:t>产品形态</w:t>
            </w:r>
          </w:p>
        </w:tc>
        <w:tc>
          <w:tcPr>
            <w:tcW w:w="6339" w:type="dxa"/>
            <w:vAlign w:val="center"/>
          </w:tcPr>
          <w:p w14:paraId="4036DF3E">
            <w:pPr>
              <w:pStyle w:val="21"/>
              <w:ind w:firstLine="0" w:firstLineChars="0"/>
              <w:rPr>
                <w:rFonts w:ascii="宋体" w:hAnsi="宋体" w:eastAsia="宋体" w:cs="宋体"/>
                <w:b w:val="0"/>
                <w:bCs/>
                <w:szCs w:val="21"/>
              </w:rPr>
            </w:pPr>
            <w:r>
              <w:rPr>
                <w:rFonts w:hint="eastAsia" w:ascii="宋体" w:hAnsi="宋体" w:eastAsia="宋体" w:cs="宋体"/>
                <w:b w:val="0"/>
                <w:bCs/>
                <w:szCs w:val="21"/>
              </w:rPr>
              <w:t>产品可以纯软件交付，包含管理控制中心软件及终端客户端软件，其中管理控制中心可统一管理PC终端、服务器端、信创操作系统，提供5000个PC终端授权许可以及1000个服务器主机授权许可，提供3年软件及规则库升级服务。</w:t>
            </w:r>
          </w:p>
        </w:tc>
      </w:tr>
      <w:tr w14:paraId="433B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restart"/>
            <w:vAlign w:val="center"/>
          </w:tcPr>
          <w:p w14:paraId="004F6019">
            <w:pPr>
              <w:pStyle w:val="21"/>
              <w:ind w:firstLine="0" w:firstLineChars="0"/>
              <w:rPr>
                <w:rFonts w:ascii="宋体" w:hAnsi="宋体" w:eastAsia="宋体" w:cs="宋体"/>
                <w:b w:val="0"/>
                <w:bCs/>
                <w:szCs w:val="21"/>
              </w:rPr>
            </w:pPr>
            <w:r>
              <w:rPr>
                <w:rFonts w:hint="eastAsia" w:ascii="宋体" w:hAnsi="宋体" w:eastAsia="宋体" w:cs="宋体"/>
                <w:b w:val="0"/>
                <w:bCs/>
                <w:szCs w:val="21"/>
              </w:rPr>
              <w:t>环境要求</w:t>
            </w:r>
          </w:p>
        </w:tc>
        <w:tc>
          <w:tcPr>
            <w:tcW w:w="6339" w:type="dxa"/>
            <w:vAlign w:val="center"/>
          </w:tcPr>
          <w:p w14:paraId="2C667FEA">
            <w:pPr>
              <w:pStyle w:val="21"/>
              <w:ind w:firstLine="0" w:firstLineChars="0"/>
              <w:rPr>
                <w:rFonts w:ascii="宋体" w:hAnsi="宋体" w:eastAsia="宋体" w:cs="宋体"/>
                <w:b w:val="0"/>
                <w:bCs/>
                <w:szCs w:val="21"/>
              </w:rPr>
            </w:pPr>
            <w:r>
              <w:rPr>
                <w:rFonts w:hint="eastAsia" w:ascii="宋体" w:hAnsi="宋体" w:eastAsia="宋体" w:cs="宋体"/>
                <w:b w:val="0"/>
                <w:bCs/>
                <w:szCs w:val="21"/>
              </w:rPr>
              <w:t>管理平台支持在64位的Centos或ubuntu等非windows操作系统环境部署</w:t>
            </w:r>
          </w:p>
        </w:tc>
      </w:tr>
      <w:tr w14:paraId="799F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vAlign w:val="center"/>
          </w:tcPr>
          <w:p w14:paraId="4591DE55">
            <w:pPr>
              <w:pStyle w:val="21"/>
              <w:ind w:firstLine="0" w:firstLineChars="0"/>
              <w:rPr>
                <w:rFonts w:ascii="宋体" w:hAnsi="宋体" w:eastAsia="宋体" w:cs="宋体"/>
                <w:b w:val="0"/>
                <w:bCs/>
                <w:szCs w:val="21"/>
              </w:rPr>
            </w:pPr>
          </w:p>
        </w:tc>
        <w:tc>
          <w:tcPr>
            <w:tcW w:w="6339" w:type="dxa"/>
            <w:vAlign w:val="center"/>
          </w:tcPr>
          <w:p w14:paraId="71AC3A51">
            <w:pPr>
              <w:rPr>
                <w:rFonts w:ascii="宋体" w:hAnsi="宋体" w:eastAsia="宋体" w:cs="宋体"/>
                <w:bCs/>
                <w:szCs w:val="21"/>
              </w:rPr>
            </w:pPr>
            <w:r>
              <w:rPr>
                <w:rFonts w:hint="eastAsia" w:ascii="宋体" w:hAnsi="宋体" w:eastAsia="宋体" w:cs="宋体"/>
                <w:bCs/>
                <w:szCs w:val="21"/>
              </w:rPr>
              <w:t>★支持一个管理控制台同时管理Windows,Linux,信创操作系统，同时支持这些操作系统的服务器版和客户端版</w:t>
            </w:r>
            <w:r>
              <w:rPr>
                <w:rFonts w:hint="eastAsia" w:ascii="宋体" w:hAnsi="宋体" w:eastAsia="宋体" w:cs="宋体"/>
                <w:b/>
                <w:bCs/>
                <w:szCs w:val="21"/>
              </w:rPr>
              <w:t>。</w:t>
            </w:r>
          </w:p>
        </w:tc>
      </w:tr>
      <w:tr w14:paraId="176C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124C1674">
            <w:pPr>
              <w:pStyle w:val="21"/>
              <w:ind w:firstLine="0" w:firstLineChars="0"/>
              <w:rPr>
                <w:rFonts w:ascii="宋体" w:hAnsi="宋体" w:eastAsia="宋体" w:cs="宋体"/>
                <w:b w:val="0"/>
                <w:bCs/>
                <w:szCs w:val="21"/>
              </w:rPr>
            </w:pPr>
            <w:r>
              <w:rPr>
                <w:rFonts w:hint="eastAsia" w:ascii="宋体" w:hAnsi="宋体" w:eastAsia="宋体" w:cs="宋体"/>
                <w:b w:val="0"/>
                <w:bCs/>
                <w:szCs w:val="21"/>
              </w:rPr>
              <w:t>登陆认证</w:t>
            </w:r>
          </w:p>
        </w:tc>
        <w:tc>
          <w:tcPr>
            <w:tcW w:w="6339" w:type="dxa"/>
            <w:vAlign w:val="center"/>
          </w:tcPr>
          <w:p w14:paraId="15D793D7">
            <w:pPr>
              <w:rPr>
                <w:rFonts w:ascii="宋体" w:hAnsi="宋体" w:eastAsia="宋体" w:cs="宋体"/>
                <w:bCs/>
                <w:szCs w:val="21"/>
              </w:rPr>
            </w:pPr>
            <w:r>
              <w:rPr>
                <w:rFonts w:hint="eastAsia" w:ascii="宋体" w:hAnsi="宋体" w:eastAsia="宋体" w:cs="宋体"/>
                <w:bCs/>
                <w:szCs w:val="21"/>
              </w:rPr>
              <w:t>管理系统登录Web页面具有双因子认证的能力。</w:t>
            </w:r>
          </w:p>
        </w:tc>
      </w:tr>
      <w:tr w14:paraId="72D9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73AAA280">
            <w:pPr>
              <w:pStyle w:val="21"/>
              <w:ind w:firstLine="0" w:firstLineChars="0"/>
              <w:rPr>
                <w:rFonts w:ascii="宋体" w:hAnsi="宋体" w:eastAsia="宋体" w:cs="宋体"/>
                <w:b w:val="0"/>
                <w:bCs/>
                <w:szCs w:val="21"/>
              </w:rPr>
            </w:pPr>
            <w:r>
              <w:rPr>
                <w:rFonts w:hint="eastAsia" w:ascii="宋体" w:hAnsi="宋体" w:eastAsia="宋体" w:cs="宋体"/>
                <w:b w:val="0"/>
                <w:bCs/>
                <w:szCs w:val="21"/>
              </w:rPr>
              <w:t>管理可视化</w:t>
            </w:r>
          </w:p>
        </w:tc>
        <w:tc>
          <w:tcPr>
            <w:tcW w:w="6339" w:type="dxa"/>
            <w:vAlign w:val="center"/>
          </w:tcPr>
          <w:p w14:paraId="03ABCD78">
            <w:pPr>
              <w:pStyle w:val="21"/>
              <w:ind w:firstLine="0" w:firstLineChars="0"/>
              <w:rPr>
                <w:rFonts w:ascii="宋体" w:hAnsi="宋体" w:eastAsia="宋体" w:cs="宋体"/>
                <w:b w:val="0"/>
                <w:bCs/>
                <w:szCs w:val="21"/>
              </w:rPr>
            </w:pPr>
            <w:r>
              <w:rPr>
                <w:rFonts w:hint="eastAsia" w:ascii="宋体" w:hAnsi="宋体" w:eastAsia="宋体" w:cs="宋体"/>
                <w:b w:val="0"/>
                <w:bCs/>
                <w:szCs w:val="21"/>
              </w:rPr>
              <w:t>采用B/S架构的管理控制中心，具备终端安全可视，终端统一管理，统一威胁处置，统一漏洞修复，威胁响应处置，日志记录与查询等功能 。</w:t>
            </w:r>
          </w:p>
        </w:tc>
      </w:tr>
      <w:tr w14:paraId="7C29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restart"/>
            <w:vAlign w:val="center"/>
          </w:tcPr>
          <w:p w14:paraId="59716D7D">
            <w:pPr>
              <w:pStyle w:val="21"/>
              <w:ind w:firstLine="0" w:firstLineChars="0"/>
              <w:rPr>
                <w:rFonts w:ascii="宋体" w:hAnsi="宋体" w:eastAsia="宋体" w:cs="宋体"/>
                <w:b w:val="0"/>
                <w:bCs/>
                <w:szCs w:val="21"/>
              </w:rPr>
            </w:pPr>
            <w:r>
              <w:rPr>
                <w:rFonts w:hint="eastAsia" w:ascii="宋体" w:hAnsi="宋体" w:eastAsia="宋体" w:cs="宋体"/>
                <w:b w:val="0"/>
                <w:bCs/>
                <w:szCs w:val="21"/>
              </w:rPr>
              <w:t>资产管理</w:t>
            </w:r>
          </w:p>
        </w:tc>
        <w:tc>
          <w:tcPr>
            <w:tcW w:w="6339" w:type="dxa"/>
            <w:vAlign w:val="center"/>
          </w:tcPr>
          <w:p w14:paraId="35E1A690">
            <w:pPr>
              <w:pStyle w:val="21"/>
              <w:ind w:firstLine="0" w:firstLineChars="0"/>
              <w:rPr>
                <w:rFonts w:ascii="宋体" w:hAnsi="宋体" w:eastAsia="宋体" w:cs="宋体"/>
                <w:b w:val="0"/>
                <w:bCs/>
                <w:szCs w:val="21"/>
              </w:rPr>
            </w:pPr>
            <w:r>
              <w:rPr>
                <w:rFonts w:hint="eastAsia" w:ascii="宋体" w:hAnsi="宋体" w:eastAsia="宋体" w:cs="宋体"/>
                <w:b w:val="0"/>
                <w:bCs/>
                <w:szCs w:val="21"/>
              </w:rPr>
              <w:t>★支持对系统账号信息进行梳理，了解账号权限分布概况以及风险账号分布情况，可按照隐藏账号、弱密码账号、可疑root权限账号、长期未使用账号、夜间登录、多IP登录进行账号分类查看，支持统计最近一年未修改密码的账户。</w:t>
            </w:r>
          </w:p>
        </w:tc>
      </w:tr>
      <w:tr w14:paraId="2926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vAlign w:val="center"/>
          </w:tcPr>
          <w:p w14:paraId="64CE8DA0">
            <w:pPr>
              <w:pStyle w:val="21"/>
              <w:ind w:firstLine="0" w:firstLineChars="0"/>
              <w:rPr>
                <w:rFonts w:ascii="宋体" w:hAnsi="宋体" w:eastAsia="宋体" w:cs="宋体"/>
                <w:b w:val="0"/>
                <w:bCs/>
                <w:szCs w:val="21"/>
              </w:rPr>
            </w:pPr>
          </w:p>
        </w:tc>
        <w:tc>
          <w:tcPr>
            <w:tcW w:w="6339" w:type="dxa"/>
            <w:vAlign w:val="center"/>
          </w:tcPr>
          <w:p w14:paraId="5775376F">
            <w:pPr>
              <w:pStyle w:val="21"/>
              <w:ind w:firstLine="0" w:firstLineChars="0"/>
              <w:rPr>
                <w:rFonts w:ascii="宋体" w:hAnsi="宋体" w:eastAsia="宋体" w:cs="宋体"/>
                <w:b w:val="0"/>
                <w:bCs/>
                <w:szCs w:val="21"/>
              </w:rPr>
            </w:pPr>
            <w:r>
              <w:rPr>
                <w:rFonts w:hint="eastAsia" w:ascii="宋体" w:hAnsi="宋体" w:eastAsia="宋体" w:cs="宋体"/>
                <w:b w:val="0"/>
                <w:bCs/>
                <w:szCs w:val="21"/>
              </w:rPr>
              <w:t>支持全网视角的终端资产统一清点，支持自动收集终端资产信息，包括：计算机名称、内核版本、操作系统、处理器、主板、内存、硬盘、显卡等基础信息及监听端口、运行程序、账号、安装软件、Web框架、Web服务、数据库、Web应用、注册表启动项、系统安装包、JAR包、计划任务、环境变量、Windows证书等详细信息。</w:t>
            </w:r>
          </w:p>
        </w:tc>
      </w:tr>
      <w:tr w14:paraId="7873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restart"/>
            <w:vAlign w:val="center"/>
          </w:tcPr>
          <w:p w14:paraId="7F806B00">
            <w:pPr>
              <w:pStyle w:val="21"/>
              <w:ind w:firstLine="0" w:firstLineChars="0"/>
              <w:rPr>
                <w:rFonts w:ascii="宋体" w:hAnsi="宋体" w:eastAsia="宋体" w:cs="宋体"/>
                <w:b w:val="0"/>
                <w:bCs/>
                <w:szCs w:val="21"/>
              </w:rPr>
            </w:pPr>
            <w:r>
              <w:rPr>
                <w:rFonts w:hint="eastAsia" w:ascii="宋体" w:hAnsi="宋体" w:eastAsia="宋体" w:cs="宋体"/>
                <w:b w:val="0"/>
                <w:bCs/>
                <w:szCs w:val="21"/>
              </w:rPr>
              <w:t>终端自保护</w:t>
            </w:r>
          </w:p>
        </w:tc>
        <w:tc>
          <w:tcPr>
            <w:tcW w:w="6339" w:type="dxa"/>
            <w:vAlign w:val="center"/>
          </w:tcPr>
          <w:p w14:paraId="1228CA37">
            <w:pPr>
              <w:pStyle w:val="21"/>
              <w:ind w:firstLine="0" w:firstLineChars="0"/>
              <w:rPr>
                <w:rFonts w:ascii="宋体" w:hAnsi="宋体" w:eastAsia="宋体" w:cs="宋体"/>
                <w:b w:val="0"/>
                <w:bCs/>
                <w:szCs w:val="21"/>
              </w:rPr>
            </w:pPr>
            <w:r>
              <w:rPr>
                <w:rFonts w:hint="eastAsia" w:ascii="宋体" w:hAnsi="宋体" w:eastAsia="宋体" w:cs="宋体"/>
                <w:bCs/>
                <w:szCs w:val="21"/>
              </w:rPr>
              <w:t>★</w:t>
            </w:r>
            <w:r>
              <w:rPr>
                <w:rFonts w:hint="eastAsia" w:ascii="宋体" w:hAnsi="宋体" w:eastAsia="宋体" w:cs="宋体"/>
                <w:b w:val="0"/>
                <w:bCs/>
                <w:szCs w:val="21"/>
              </w:rPr>
              <w:t>支持agent安装目录的文件保护，可以保护agent目录和文件实时监控驱动文件，可以保护agent的服务/进程/文件不被恶意删除，以免影响正常功能，导致用户的终端受到病毒入侵 。</w:t>
            </w:r>
          </w:p>
        </w:tc>
      </w:tr>
      <w:tr w14:paraId="0E0C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tcPr>
          <w:p w14:paraId="2534C510">
            <w:pPr>
              <w:pStyle w:val="21"/>
              <w:ind w:firstLine="0" w:firstLineChars="0"/>
              <w:rPr>
                <w:rFonts w:ascii="宋体" w:hAnsi="宋体" w:eastAsia="宋体" w:cs="宋体"/>
                <w:b w:val="0"/>
                <w:bCs/>
                <w:szCs w:val="21"/>
              </w:rPr>
            </w:pPr>
          </w:p>
        </w:tc>
        <w:tc>
          <w:tcPr>
            <w:tcW w:w="6339" w:type="dxa"/>
            <w:vAlign w:val="center"/>
          </w:tcPr>
          <w:p w14:paraId="5AF672C3">
            <w:pPr>
              <w:pStyle w:val="21"/>
              <w:ind w:firstLine="0" w:firstLineChars="0"/>
              <w:rPr>
                <w:rFonts w:ascii="宋体" w:hAnsi="宋体" w:eastAsia="宋体" w:cs="宋体"/>
                <w:b w:val="0"/>
                <w:bCs/>
                <w:szCs w:val="21"/>
              </w:rPr>
            </w:pPr>
            <w:r>
              <w:rPr>
                <w:rFonts w:hint="eastAsia" w:ascii="宋体" w:hAnsi="宋体" w:eastAsia="宋体" w:cs="宋体"/>
                <w:b w:val="0"/>
                <w:bCs/>
                <w:szCs w:val="21"/>
              </w:rPr>
              <w:t xml:space="preserve">支持禁止黑客工具启动，包含：冰刃、xuetr、ProcessHacker、PCHunter、火绒剑、Mimikatz等的自启动，可以防止黑客攻击 </w:t>
            </w:r>
          </w:p>
        </w:tc>
      </w:tr>
      <w:tr w14:paraId="72BC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3369B0B9">
            <w:pPr>
              <w:pStyle w:val="21"/>
              <w:ind w:firstLine="0" w:firstLineChars="0"/>
              <w:rPr>
                <w:rFonts w:ascii="宋体" w:hAnsi="宋体" w:eastAsia="宋体" w:cs="宋体"/>
                <w:b w:val="0"/>
                <w:bCs/>
                <w:szCs w:val="21"/>
              </w:rPr>
            </w:pPr>
            <w:r>
              <w:rPr>
                <w:rFonts w:hint="eastAsia" w:ascii="宋体" w:hAnsi="宋体" w:eastAsia="宋体" w:cs="宋体"/>
                <w:b w:val="0"/>
                <w:bCs/>
                <w:szCs w:val="21"/>
              </w:rPr>
              <w:t>WebShell事件处理</w:t>
            </w:r>
          </w:p>
        </w:tc>
        <w:tc>
          <w:tcPr>
            <w:tcW w:w="6339" w:type="dxa"/>
            <w:vAlign w:val="center"/>
          </w:tcPr>
          <w:p w14:paraId="7F80B586">
            <w:pPr>
              <w:pStyle w:val="21"/>
              <w:ind w:firstLine="0" w:firstLineChars="0"/>
              <w:rPr>
                <w:rFonts w:ascii="宋体" w:hAnsi="宋体" w:eastAsia="宋体" w:cs="宋体"/>
                <w:b w:val="0"/>
                <w:bCs/>
                <w:szCs w:val="21"/>
              </w:rPr>
            </w:pPr>
            <w:r>
              <w:rPr>
                <w:rFonts w:hint="eastAsia" w:ascii="宋体" w:hAnsi="宋体" w:eastAsia="宋体" w:cs="宋体"/>
                <w:b w:val="0"/>
                <w:bCs/>
                <w:szCs w:val="21"/>
              </w:rPr>
              <w:t>支持展示终端检测到的WebShell事件及事件详情，包括：恶意文件名称，威胁等级，受感染的文件，发现时间，检测引擎，文件类型，文件名，文件Hash值，文件大小，文件创建时间；可配置WebShell实时扫描，一旦发现WebShell文件，可自动隔离或仅上报不隔离。</w:t>
            </w:r>
          </w:p>
        </w:tc>
      </w:tr>
      <w:tr w14:paraId="7658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2004" w:type="dxa"/>
            <w:vAlign w:val="center"/>
          </w:tcPr>
          <w:p w14:paraId="2E33BBF4">
            <w:pPr>
              <w:rPr>
                <w:rFonts w:ascii="宋体" w:hAnsi="宋体" w:eastAsia="宋体" w:cs="宋体"/>
                <w:bCs/>
                <w:szCs w:val="21"/>
              </w:rPr>
            </w:pPr>
            <w:r>
              <w:rPr>
                <w:rFonts w:hint="eastAsia" w:ascii="宋体" w:hAnsi="宋体" w:eastAsia="宋体" w:cs="宋体"/>
                <w:bCs/>
                <w:szCs w:val="21"/>
              </w:rPr>
              <w:t>无文件攻击检测</w:t>
            </w:r>
          </w:p>
        </w:tc>
        <w:tc>
          <w:tcPr>
            <w:tcW w:w="6339" w:type="dxa"/>
            <w:vAlign w:val="center"/>
          </w:tcPr>
          <w:p w14:paraId="041471EB">
            <w:pPr>
              <w:pStyle w:val="21"/>
              <w:ind w:firstLine="0" w:firstLineChars="0"/>
              <w:rPr>
                <w:rFonts w:ascii="宋体" w:hAnsi="宋体" w:cs="宋体"/>
                <w:bCs/>
                <w:szCs w:val="21"/>
              </w:rPr>
            </w:pPr>
            <w:r>
              <w:rPr>
                <w:rFonts w:hint="eastAsia" w:ascii="宋体" w:hAnsi="宋体" w:eastAsia="宋体" w:cs="宋体"/>
                <w:bCs/>
                <w:szCs w:val="21"/>
              </w:rPr>
              <w:t>★</w:t>
            </w:r>
            <w:r>
              <w:rPr>
                <w:rFonts w:hint="eastAsia" w:ascii="宋体" w:hAnsi="宋体" w:eastAsia="宋体" w:cs="宋体"/>
                <w:b w:val="0"/>
                <w:bCs/>
                <w:szCs w:val="21"/>
              </w:rPr>
              <w:t>通过实时监控能力，发现各主机进程内存中是否被注入后门，包括内存马风险说明、内存马类名、内存马路径、堆栈轨迹、攻击技战术、处理建议、可以有效检测无文件攻击的事件,支持检测内存注入攻击，支持检测的应用类型包括Weblogic、Spring、Tomcat、Resin、Jetty等。支持检测的类型包括：Servlet型、Listener型、Filter型等。</w:t>
            </w:r>
          </w:p>
        </w:tc>
      </w:tr>
      <w:tr w14:paraId="5E9D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47B00E64">
            <w:pPr>
              <w:pStyle w:val="21"/>
              <w:ind w:firstLine="0" w:firstLineChars="0"/>
              <w:rPr>
                <w:rFonts w:ascii="宋体" w:hAnsi="宋体" w:eastAsia="宋体" w:cs="宋体"/>
                <w:b w:val="0"/>
                <w:bCs/>
                <w:szCs w:val="21"/>
              </w:rPr>
            </w:pPr>
            <w:r>
              <w:rPr>
                <w:rFonts w:hint="eastAsia" w:ascii="宋体" w:hAnsi="宋体" w:eastAsia="宋体" w:cs="宋体"/>
                <w:b w:val="0"/>
                <w:bCs/>
                <w:szCs w:val="21"/>
              </w:rPr>
              <w:t>终端水印功能</w:t>
            </w:r>
          </w:p>
        </w:tc>
        <w:tc>
          <w:tcPr>
            <w:tcW w:w="6339" w:type="dxa"/>
            <w:vAlign w:val="center"/>
          </w:tcPr>
          <w:p w14:paraId="7D9369E6">
            <w:pPr>
              <w:pStyle w:val="21"/>
              <w:ind w:firstLine="0" w:firstLineChars="0"/>
              <w:rPr>
                <w:rFonts w:ascii="宋体" w:hAnsi="宋体" w:eastAsia="宋体" w:cs="宋体"/>
                <w:b w:val="0"/>
                <w:bCs/>
                <w:szCs w:val="21"/>
              </w:rPr>
            </w:pPr>
            <w:r>
              <w:rPr>
                <w:rFonts w:hint="eastAsia" w:ascii="宋体" w:hAnsi="宋体" w:eastAsia="宋体" w:cs="宋体"/>
                <w:b w:val="0"/>
                <w:bCs/>
                <w:szCs w:val="21"/>
              </w:rPr>
              <w:t>可设置终端全屏水印以及区域水印，可自定义设置水印内容。</w:t>
            </w:r>
          </w:p>
        </w:tc>
      </w:tr>
      <w:tr w14:paraId="475C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restart"/>
            <w:vAlign w:val="center"/>
          </w:tcPr>
          <w:p w14:paraId="6F7DA798">
            <w:pPr>
              <w:pStyle w:val="21"/>
              <w:ind w:firstLine="0" w:firstLineChars="0"/>
              <w:rPr>
                <w:rFonts w:ascii="宋体" w:hAnsi="宋体" w:eastAsia="宋体" w:cs="宋体"/>
                <w:b w:val="0"/>
                <w:bCs/>
                <w:szCs w:val="21"/>
              </w:rPr>
            </w:pPr>
            <w:r>
              <w:rPr>
                <w:rFonts w:hint="eastAsia" w:ascii="宋体" w:hAnsi="宋体" w:eastAsia="宋体" w:cs="宋体"/>
                <w:b w:val="0"/>
                <w:bCs/>
                <w:szCs w:val="21"/>
              </w:rPr>
              <w:t>Windows终端安全加固</w:t>
            </w:r>
          </w:p>
        </w:tc>
        <w:tc>
          <w:tcPr>
            <w:tcW w:w="6339" w:type="dxa"/>
            <w:vAlign w:val="center"/>
          </w:tcPr>
          <w:p w14:paraId="7BFDD28C">
            <w:pPr>
              <w:pStyle w:val="21"/>
              <w:ind w:firstLine="0" w:firstLineChars="0"/>
              <w:rPr>
                <w:rFonts w:ascii="宋体" w:hAnsi="宋体" w:eastAsia="宋体" w:cs="宋体"/>
                <w:b w:val="0"/>
                <w:bCs/>
                <w:szCs w:val="21"/>
              </w:rPr>
            </w:pPr>
            <w:r>
              <w:rPr>
                <w:rFonts w:hint="eastAsia" w:ascii="宋体" w:hAnsi="宋体" w:eastAsia="宋体" w:cs="宋体"/>
                <w:b w:val="0"/>
                <w:bCs/>
                <w:szCs w:val="21"/>
              </w:rPr>
              <w:t>支持对服务器重要目录进行权限控制，仅允许配置的可信进程操作该目录并提供配置指引。</w:t>
            </w:r>
          </w:p>
        </w:tc>
      </w:tr>
      <w:tr w14:paraId="0ADD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tcPr>
          <w:p w14:paraId="434AAD20">
            <w:pPr>
              <w:pStyle w:val="21"/>
              <w:ind w:firstLine="0" w:firstLineChars="0"/>
              <w:rPr>
                <w:rFonts w:ascii="宋体" w:hAnsi="宋体" w:eastAsia="宋体" w:cs="宋体"/>
                <w:b w:val="0"/>
                <w:bCs/>
                <w:szCs w:val="21"/>
              </w:rPr>
            </w:pPr>
          </w:p>
        </w:tc>
        <w:tc>
          <w:tcPr>
            <w:tcW w:w="6339" w:type="dxa"/>
            <w:vAlign w:val="center"/>
          </w:tcPr>
          <w:p w14:paraId="75EDAE8B">
            <w:pPr>
              <w:pStyle w:val="21"/>
              <w:ind w:firstLine="0" w:firstLineChars="0"/>
              <w:rPr>
                <w:rFonts w:ascii="宋体" w:hAnsi="宋体" w:eastAsia="宋体" w:cs="宋体"/>
                <w:b w:val="0"/>
                <w:bCs/>
                <w:szCs w:val="21"/>
              </w:rPr>
            </w:pPr>
            <w:r>
              <w:rPr>
                <w:rFonts w:hint="eastAsia" w:ascii="宋体" w:hAnsi="宋体" w:eastAsia="宋体" w:cs="宋体"/>
                <w:b w:val="0"/>
                <w:bCs/>
                <w:szCs w:val="21"/>
              </w:rPr>
              <w:t>提供基于可信鉴定方式的进程防护方式，通过人工智能自学习机制，自动建立信任进程名单，阻断非可信进程的运行并提供配置指引，同时支持通过模板和手动的方式添加信任进程。</w:t>
            </w:r>
          </w:p>
        </w:tc>
      </w:tr>
      <w:tr w14:paraId="7128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tcPr>
          <w:p w14:paraId="79A0D738">
            <w:pPr>
              <w:pStyle w:val="21"/>
              <w:ind w:firstLine="0" w:firstLineChars="0"/>
              <w:rPr>
                <w:rFonts w:ascii="宋体" w:hAnsi="宋体" w:eastAsia="宋体" w:cs="宋体"/>
                <w:b w:val="0"/>
                <w:bCs/>
                <w:szCs w:val="21"/>
              </w:rPr>
            </w:pPr>
          </w:p>
        </w:tc>
        <w:tc>
          <w:tcPr>
            <w:tcW w:w="6339" w:type="dxa"/>
            <w:vAlign w:val="center"/>
          </w:tcPr>
          <w:p w14:paraId="79E2FB6B">
            <w:pPr>
              <w:pStyle w:val="21"/>
              <w:ind w:firstLine="0" w:firstLineChars="0"/>
              <w:rPr>
                <w:rFonts w:ascii="宋体" w:hAnsi="宋体" w:eastAsia="宋体" w:cs="宋体"/>
                <w:b w:val="0"/>
                <w:bCs/>
                <w:szCs w:val="21"/>
              </w:rPr>
            </w:pPr>
            <w:r>
              <w:rPr>
                <w:rFonts w:hint="eastAsia" w:ascii="宋体" w:hAnsi="宋体" w:eastAsia="宋体" w:cs="宋体"/>
                <w:b w:val="0"/>
                <w:bCs/>
                <w:szCs w:val="21"/>
              </w:rPr>
              <w:t>支持对勒索入侵的主流方式RDP暴破做全方位保护，包括RDP登录校验、RDP文件加白二次校验等功能。</w:t>
            </w:r>
          </w:p>
        </w:tc>
      </w:tr>
      <w:tr w14:paraId="7336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tcPr>
          <w:p w14:paraId="45B2EE48">
            <w:pPr>
              <w:pStyle w:val="21"/>
              <w:ind w:firstLine="0" w:firstLineChars="0"/>
              <w:rPr>
                <w:rFonts w:ascii="宋体" w:hAnsi="宋体" w:eastAsia="宋体" w:cs="宋体"/>
                <w:b w:val="0"/>
                <w:bCs/>
                <w:szCs w:val="21"/>
              </w:rPr>
            </w:pPr>
            <w:r>
              <w:rPr>
                <w:rFonts w:hint="eastAsia" w:ascii="宋体" w:hAnsi="宋体" w:eastAsia="宋体" w:cs="宋体"/>
                <w:b w:val="0"/>
                <w:bCs/>
                <w:szCs w:val="21"/>
              </w:rPr>
              <w:t>防火墙</w:t>
            </w:r>
          </w:p>
        </w:tc>
        <w:tc>
          <w:tcPr>
            <w:tcW w:w="6339" w:type="dxa"/>
            <w:vAlign w:val="center"/>
          </w:tcPr>
          <w:p w14:paraId="69C567ED">
            <w:pPr>
              <w:pStyle w:val="21"/>
              <w:ind w:firstLine="0" w:firstLineChars="0"/>
              <w:rPr>
                <w:rFonts w:ascii="宋体" w:hAnsi="宋体" w:eastAsia="宋体" w:cs="宋体"/>
                <w:b w:val="0"/>
                <w:bCs/>
                <w:szCs w:val="21"/>
              </w:rPr>
            </w:pPr>
            <w:r>
              <w:rPr>
                <w:rFonts w:hint="eastAsia" w:ascii="宋体" w:hAnsi="宋体" w:eastAsia="宋体" w:cs="宋体"/>
                <w:bCs/>
                <w:szCs w:val="21"/>
              </w:rPr>
              <w:t>★</w:t>
            </w:r>
            <w:r>
              <w:rPr>
                <w:rFonts w:hint="eastAsia" w:ascii="宋体" w:hAnsi="宋体" w:eastAsia="宋体" w:cs="宋体"/>
                <w:b w:val="0"/>
                <w:bCs/>
                <w:szCs w:val="21"/>
              </w:rPr>
              <w:t>支持终端防火墙功能，可依据以下标准设定规则：远程IP，方向（出站\入站），协议（所有协议\ICMP\TCP\UDP\TCP+UDP）,端口，具备一键管控功能。</w:t>
            </w:r>
          </w:p>
        </w:tc>
      </w:tr>
      <w:tr w14:paraId="5AF0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tcPr>
          <w:p w14:paraId="21AF6232">
            <w:pPr>
              <w:rPr>
                <w:rFonts w:ascii="宋体" w:hAnsi="宋体" w:eastAsia="宋体" w:cs="宋体"/>
                <w:bCs/>
                <w:szCs w:val="21"/>
              </w:rPr>
            </w:pPr>
            <w:r>
              <w:rPr>
                <w:rFonts w:hint="eastAsia" w:ascii="宋体" w:hAnsi="宋体" w:eastAsia="宋体" w:cs="宋体"/>
                <w:bCs/>
                <w:szCs w:val="21"/>
              </w:rPr>
              <w:t>网络分域隔离</w:t>
            </w:r>
          </w:p>
        </w:tc>
        <w:tc>
          <w:tcPr>
            <w:tcW w:w="6339" w:type="dxa"/>
            <w:vAlign w:val="center"/>
          </w:tcPr>
          <w:p w14:paraId="1EAAF5C6">
            <w:pPr>
              <w:pStyle w:val="21"/>
              <w:ind w:firstLine="0" w:firstLineChars="0"/>
              <w:rPr>
                <w:rFonts w:ascii="宋体" w:hAnsi="宋体" w:eastAsia="宋体" w:cs="宋体"/>
                <w:b w:val="0"/>
                <w:bCs/>
                <w:szCs w:val="21"/>
              </w:rPr>
            </w:pPr>
            <w:r>
              <w:rPr>
                <w:rFonts w:hint="eastAsia" w:ascii="宋体" w:hAnsi="宋体" w:eastAsia="宋体" w:cs="宋体"/>
                <w:bCs/>
                <w:szCs w:val="21"/>
              </w:rPr>
              <w:t>★</w:t>
            </w:r>
            <w:r>
              <w:rPr>
                <w:rFonts w:hint="eastAsia" w:ascii="宋体" w:hAnsi="宋体" w:eastAsia="宋体" w:cs="宋体"/>
                <w:b w:val="0"/>
                <w:bCs/>
                <w:szCs w:val="21"/>
              </w:rPr>
              <w:t>支持网络分域访问，在服务端设置不同网络访问域，资产在同一时间只能访问任意一个网络域，支持资产自主切换不同网络访问域。</w:t>
            </w:r>
          </w:p>
        </w:tc>
      </w:tr>
      <w:tr w14:paraId="24BD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tcPr>
          <w:p w14:paraId="200DBA7B">
            <w:pPr>
              <w:rPr>
                <w:rFonts w:ascii="宋体" w:hAnsi="宋体" w:eastAsia="宋体" w:cs="宋体"/>
                <w:bCs/>
                <w:szCs w:val="21"/>
              </w:rPr>
            </w:pPr>
            <w:r>
              <w:rPr>
                <w:rFonts w:hint="eastAsia" w:ascii="宋体" w:hAnsi="宋体" w:eastAsia="宋体" w:cs="宋体"/>
                <w:bCs/>
                <w:szCs w:val="21"/>
              </w:rPr>
              <w:t>违规外联检测</w:t>
            </w:r>
          </w:p>
          <w:p w14:paraId="5BDA650D">
            <w:pPr>
              <w:pStyle w:val="13"/>
              <w:ind w:firstLine="210"/>
              <w:rPr>
                <w:rFonts w:ascii="宋体" w:hAnsi="宋体" w:cs="宋体"/>
                <w:bCs/>
                <w:szCs w:val="21"/>
              </w:rPr>
            </w:pPr>
          </w:p>
        </w:tc>
        <w:tc>
          <w:tcPr>
            <w:tcW w:w="6339" w:type="dxa"/>
            <w:vAlign w:val="center"/>
          </w:tcPr>
          <w:p w14:paraId="78EE2DE5">
            <w:pPr>
              <w:pStyle w:val="21"/>
              <w:ind w:firstLine="0" w:firstLineChars="0"/>
              <w:rPr>
                <w:rFonts w:ascii="宋体" w:hAnsi="宋体" w:eastAsia="宋体" w:cs="宋体"/>
                <w:b w:val="0"/>
                <w:bCs/>
                <w:szCs w:val="21"/>
              </w:rPr>
            </w:pPr>
            <w:r>
              <w:rPr>
                <w:rFonts w:hint="eastAsia" w:ascii="宋体" w:hAnsi="宋体" w:eastAsia="宋体" w:cs="宋体"/>
                <w:bCs/>
                <w:szCs w:val="21"/>
              </w:rPr>
              <w:t>★</w:t>
            </w:r>
            <w:r>
              <w:rPr>
                <w:rFonts w:hint="eastAsia" w:ascii="宋体" w:hAnsi="宋体" w:eastAsia="宋体" w:cs="宋体"/>
                <w:b w:val="0"/>
                <w:bCs/>
                <w:szCs w:val="21"/>
              </w:rPr>
              <w:t>支持基于IP及域名设置探测地址，实时感知违规外联行为，针对违规外联行为支持多种处置方式，对于白名单之外的域名访问，能够直接执行阻断动作，禁止访问违规域名。</w:t>
            </w:r>
          </w:p>
        </w:tc>
      </w:tr>
      <w:tr w14:paraId="1878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tcPr>
          <w:p w14:paraId="7C9A0408">
            <w:pPr>
              <w:rPr>
                <w:rFonts w:ascii="宋体" w:hAnsi="宋体" w:eastAsia="宋体" w:cs="宋体"/>
                <w:bCs/>
                <w:szCs w:val="21"/>
              </w:rPr>
            </w:pPr>
            <w:r>
              <w:rPr>
                <w:rFonts w:hint="eastAsia" w:ascii="宋体" w:hAnsi="宋体" w:eastAsia="宋体" w:cs="宋体"/>
                <w:bCs/>
                <w:szCs w:val="21"/>
              </w:rPr>
              <w:t>弱口令检测</w:t>
            </w:r>
          </w:p>
        </w:tc>
        <w:tc>
          <w:tcPr>
            <w:tcW w:w="6339" w:type="dxa"/>
            <w:vAlign w:val="center"/>
          </w:tcPr>
          <w:p w14:paraId="287A2D1F">
            <w:pPr>
              <w:pStyle w:val="41"/>
              <w:numPr>
                <w:ilvl w:val="0"/>
                <w:numId w:val="0"/>
              </w:numPr>
              <w:tabs>
                <w:tab w:val="clear" w:pos="839"/>
              </w:tabs>
              <w:spacing w:before="120" w:after="120"/>
              <w:jc w:val="left"/>
              <w:rPr>
                <w:rFonts w:ascii="宋体" w:hAnsi="宋体" w:eastAsia="宋体" w:cs="宋体"/>
                <w:bCs/>
                <w:szCs w:val="21"/>
              </w:rPr>
            </w:pPr>
            <w:r>
              <w:rPr>
                <w:rFonts w:hint="eastAsia" w:ascii="宋体" w:hAnsi="宋体" w:eastAsia="宋体" w:cs="宋体"/>
                <w:bCs/>
                <w:szCs w:val="21"/>
              </w:rPr>
              <w:t>★支持检测各类型应用弱口令：</w:t>
            </w:r>
          </w:p>
          <w:p w14:paraId="3511FB72">
            <w:pPr>
              <w:pStyle w:val="21"/>
              <w:ind w:firstLine="0" w:firstLineChars="0"/>
              <w:rPr>
                <w:rFonts w:ascii="宋体" w:hAnsi="宋体" w:eastAsia="宋体" w:cs="宋体"/>
                <w:b w:val="0"/>
                <w:bCs/>
                <w:szCs w:val="21"/>
              </w:rPr>
            </w:pPr>
            <w:r>
              <w:rPr>
                <w:rFonts w:hint="eastAsia" w:ascii="宋体" w:hAnsi="宋体" w:eastAsia="宋体" w:cs="宋体"/>
                <w:b w:val="0"/>
                <w:bCs/>
                <w:szCs w:val="21"/>
              </w:rPr>
              <w:t>支持检测的数据库应用类型包括：mysql、db2、redis、mongodb、sybase、mssql，中间件类型包括：tomcat、weblogic，电子邮件应用类型包括：imap、imap、smtp，多媒体应用类型包括：onvif、SIP，文件及网络应用类型包括：ftp、snmp等。</w:t>
            </w:r>
          </w:p>
        </w:tc>
      </w:tr>
      <w:tr w14:paraId="320A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restart"/>
            <w:vAlign w:val="center"/>
          </w:tcPr>
          <w:p w14:paraId="6C935D84">
            <w:pPr>
              <w:pStyle w:val="21"/>
              <w:ind w:firstLine="0" w:firstLineChars="0"/>
              <w:rPr>
                <w:rFonts w:ascii="宋体" w:hAnsi="宋体" w:eastAsia="宋体" w:cs="宋体"/>
                <w:b w:val="0"/>
                <w:bCs/>
                <w:szCs w:val="21"/>
              </w:rPr>
            </w:pPr>
            <w:r>
              <w:rPr>
                <w:rFonts w:hint="eastAsia" w:ascii="宋体" w:hAnsi="宋体" w:eastAsia="宋体" w:cs="宋体"/>
                <w:b w:val="0"/>
                <w:bCs/>
                <w:szCs w:val="21"/>
              </w:rPr>
              <w:t>勒索病毒专防</w:t>
            </w:r>
          </w:p>
        </w:tc>
        <w:tc>
          <w:tcPr>
            <w:tcW w:w="6339" w:type="dxa"/>
            <w:vAlign w:val="center"/>
          </w:tcPr>
          <w:p w14:paraId="4044583A">
            <w:pPr>
              <w:pStyle w:val="21"/>
              <w:ind w:firstLine="0" w:firstLineChars="0"/>
              <w:rPr>
                <w:rFonts w:ascii="宋体" w:hAnsi="宋体" w:eastAsia="宋体" w:cs="宋体"/>
                <w:b w:val="0"/>
                <w:bCs/>
                <w:szCs w:val="21"/>
              </w:rPr>
            </w:pPr>
            <w:r>
              <w:rPr>
                <w:rFonts w:hint="eastAsia" w:ascii="宋体" w:hAnsi="宋体" w:eastAsia="宋体" w:cs="宋体"/>
                <w:b w:val="0"/>
                <w:bCs/>
                <w:szCs w:val="21"/>
              </w:rPr>
              <w:t>基于勒索病毒攻击过程，建立多维度立体防护机制，提供事前入侵防御-事中反加密-事后检测响应的完整防护体系，展示勒索病毒处置情况，对勒索病毒及变种实现专门有效防御。</w:t>
            </w:r>
          </w:p>
        </w:tc>
      </w:tr>
      <w:tr w14:paraId="6CBC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tcPr>
          <w:p w14:paraId="5689C4EA">
            <w:pPr>
              <w:pStyle w:val="21"/>
              <w:ind w:firstLine="0" w:firstLineChars="0"/>
              <w:rPr>
                <w:rFonts w:ascii="宋体" w:hAnsi="宋体" w:eastAsia="宋体" w:cs="宋体"/>
                <w:b w:val="0"/>
                <w:bCs/>
                <w:szCs w:val="21"/>
              </w:rPr>
            </w:pPr>
          </w:p>
        </w:tc>
        <w:tc>
          <w:tcPr>
            <w:tcW w:w="6339" w:type="dxa"/>
            <w:vAlign w:val="center"/>
          </w:tcPr>
          <w:p w14:paraId="28351CFD">
            <w:pPr>
              <w:pStyle w:val="21"/>
              <w:ind w:firstLine="0" w:firstLineChars="0"/>
              <w:rPr>
                <w:rFonts w:ascii="宋体" w:hAnsi="宋体" w:eastAsia="宋体" w:cs="宋体"/>
                <w:b w:val="0"/>
                <w:bCs/>
                <w:szCs w:val="21"/>
              </w:rPr>
            </w:pPr>
            <w:r>
              <w:rPr>
                <w:rFonts w:hint="eastAsia" w:ascii="宋体" w:hAnsi="宋体" w:eastAsia="宋体" w:cs="宋体"/>
                <w:b w:val="0"/>
                <w:bCs/>
                <w:szCs w:val="21"/>
              </w:rPr>
              <w:t>支持监控诱饵文件，诱饵文件可被实时监控，当勒索病毒对该文件进行修改或加密操作时进行拦截。</w:t>
            </w:r>
          </w:p>
        </w:tc>
      </w:tr>
      <w:tr w14:paraId="1077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Merge w:val="continue"/>
          </w:tcPr>
          <w:p w14:paraId="4BDC75CF">
            <w:pPr>
              <w:pStyle w:val="21"/>
              <w:ind w:firstLine="0" w:firstLineChars="0"/>
              <w:rPr>
                <w:rFonts w:ascii="宋体" w:hAnsi="宋体" w:eastAsia="宋体" w:cs="宋体"/>
                <w:b w:val="0"/>
                <w:bCs/>
                <w:szCs w:val="21"/>
              </w:rPr>
            </w:pPr>
          </w:p>
        </w:tc>
        <w:tc>
          <w:tcPr>
            <w:tcW w:w="6339" w:type="dxa"/>
            <w:vAlign w:val="center"/>
          </w:tcPr>
          <w:p w14:paraId="636B9F9F">
            <w:pPr>
              <w:pStyle w:val="21"/>
              <w:ind w:firstLine="0" w:firstLineChars="0"/>
              <w:rPr>
                <w:rFonts w:ascii="宋体" w:hAnsi="宋体" w:eastAsia="宋体" w:cs="宋体"/>
                <w:b w:val="0"/>
                <w:bCs/>
                <w:szCs w:val="21"/>
              </w:rPr>
            </w:pPr>
            <w:r>
              <w:rPr>
                <w:rFonts w:hint="eastAsia" w:ascii="宋体" w:hAnsi="宋体" w:eastAsia="宋体" w:cs="宋体"/>
                <w:b w:val="0"/>
                <w:bCs/>
                <w:szCs w:val="21"/>
              </w:rPr>
              <w:t>支持用户直接对勒索病毒的家族名、病毒名、加密文件后缀名执行链接查询，可通过直接上传加密文件的方式确定勒索病毒类型，支持提供必要的解密工具。</w:t>
            </w:r>
          </w:p>
        </w:tc>
      </w:tr>
      <w:tr w14:paraId="0856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48DDCAFE">
            <w:pPr>
              <w:pStyle w:val="21"/>
              <w:ind w:firstLine="0" w:firstLineChars="0"/>
              <w:rPr>
                <w:rFonts w:ascii="宋体" w:hAnsi="宋体" w:eastAsia="宋体" w:cs="宋体"/>
                <w:b w:val="0"/>
                <w:bCs/>
                <w:szCs w:val="21"/>
              </w:rPr>
            </w:pPr>
            <w:r>
              <w:rPr>
                <w:rFonts w:hint="eastAsia" w:ascii="宋体" w:hAnsi="宋体" w:eastAsia="宋体" w:cs="宋体"/>
                <w:b w:val="0"/>
                <w:bCs/>
                <w:szCs w:val="21"/>
              </w:rPr>
              <w:t>挖矿病毒巡检</w:t>
            </w:r>
          </w:p>
        </w:tc>
        <w:tc>
          <w:tcPr>
            <w:tcW w:w="6339" w:type="dxa"/>
            <w:vAlign w:val="center"/>
          </w:tcPr>
          <w:p w14:paraId="0266A9D2">
            <w:pPr>
              <w:pStyle w:val="21"/>
              <w:ind w:firstLine="0" w:firstLineChars="0"/>
              <w:rPr>
                <w:rFonts w:ascii="宋体" w:hAnsi="宋体" w:eastAsia="宋体" w:cs="宋体"/>
                <w:b w:val="0"/>
                <w:bCs/>
                <w:szCs w:val="21"/>
              </w:rPr>
            </w:pPr>
            <w:r>
              <w:rPr>
                <w:rFonts w:hint="eastAsia" w:ascii="宋体" w:hAnsi="宋体" w:eastAsia="宋体" w:cs="宋体"/>
                <w:b w:val="0"/>
                <w:bCs/>
                <w:szCs w:val="21"/>
              </w:rPr>
              <w:t>提供挖矿病毒巡检工具，支持通过内存、进程和启动项来检索病毒相关信息。</w:t>
            </w:r>
          </w:p>
        </w:tc>
      </w:tr>
      <w:tr w14:paraId="78DB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9" w:hRule="atLeast"/>
          <w:jc w:val="center"/>
        </w:trPr>
        <w:tc>
          <w:tcPr>
            <w:tcW w:w="2004" w:type="dxa"/>
            <w:vAlign w:val="center"/>
          </w:tcPr>
          <w:p w14:paraId="42206C66">
            <w:pPr>
              <w:pStyle w:val="21"/>
              <w:ind w:firstLine="0" w:firstLineChars="0"/>
              <w:rPr>
                <w:rFonts w:ascii="宋体" w:hAnsi="宋体" w:eastAsia="宋体" w:cs="宋体"/>
                <w:b w:val="0"/>
                <w:bCs/>
                <w:szCs w:val="21"/>
              </w:rPr>
            </w:pPr>
            <w:r>
              <w:rPr>
                <w:rFonts w:hint="eastAsia" w:ascii="宋体" w:hAnsi="宋体" w:eastAsia="宋体" w:cs="宋体"/>
                <w:b w:val="0"/>
                <w:bCs/>
                <w:szCs w:val="21"/>
              </w:rPr>
              <w:t>虚拟补丁及漏洞修复管理</w:t>
            </w:r>
          </w:p>
        </w:tc>
        <w:tc>
          <w:tcPr>
            <w:tcW w:w="6339" w:type="dxa"/>
          </w:tcPr>
          <w:p w14:paraId="5A791E9F">
            <w:pPr>
              <w:pStyle w:val="21"/>
              <w:ind w:firstLine="0" w:firstLineChars="0"/>
              <w:rPr>
                <w:rFonts w:ascii="宋体" w:hAnsi="宋体" w:eastAsia="宋体" w:cs="宋体"/>
                <w:b w:val="0"/>
                <w:bCs/>
                <w:szCs w:val="21"/>
              </w:rPr>
            </w:pPr>
            <w:r>
              <w:rPr>
                <w:rFonts w:hint="eastAsia" w:ascii="宋体" w:hAnsi="宋体" w:eastAsia="宋体" w:cs="宋体"/>
                <w:bCs/>
                <w:szCs w:val="21"/>
              </w:rPr>
              <w:t>★</w:t>
            </w:r>
            <w:r>
              <w:rPr>
                <w:rFonts w:hint="eastAsia" w:ascii="宋体" w:hAnsi="宋体" w:eastAsia="宋体" w:cs="宋体"/>
                <w:b w:val="0"/>
                <w:bCs/>
                <w:szCs w:val="21"/>
              </w:rPr>
              <w:t>支持从主机/服务器端对网络流量进行实时监控和分析，虚拟补丁功能对网络流量包进行特征检查，对包含漏洞攻击特征的网络数据包进行阻断，无需下载实体补丁、虚拟补丁应支持Windows、信创、Linux等操作系统的虚拟补丁规则和漏洞攻击防护，无需重启服务、可快速更新攻击特征库以抵御新型漏洞等。</w:t>
            </w:r>
          </w:p>
          <w:p w14:paraId="4227E652">
            <w:pPr>
              <w:pStyle w:val="21"/>
              <w:ind w:firstLine="0" w:firstLineChars="0"/>
              <w:rPr>
                <w:rFonts w:ascii="宋体" w:hAnsi="宋体" w:eastAsia="宋体" w:cs="宋体"/>
                <w:b w:val="0"/>
                <w:bCs/>
                <w:szCs w:val="21"/>
              </w:rPr>
            </w:pPr>
            <w:r>
              <w:rPr>
                <w:rFonts w:hint="eastAsia" w:ascii="宋体" w:hAnsi="宋体" w:eastAsia="宋体" w:cs="宋体"/>
                <w:b w:val="0"/>
                <w:bCs/>
                <w:szCs w:val="21"/>
              </w:rPr>
              <w:t>支持对终端的漏洞情况进行扫描，并查看漏洞具体情况及KB号，支持手动和自动更新实体补丁并显示具体修复情况 。</w:t>
            </w:r>
          </w:p>
        </w:tc>
      </w:tr>
      <w:tr w14:paraId="53E1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2004" w:type="dxa"/>
          </w:tcPr>
          <w:p w14:paraId="60FDC1B9">
            <w:pPr>
              <w:pStyle w:val="21"/>
              <w:ind w:firstLine="0" w:firstLineChars="0"/>
              <w:rPr>
                <w:rFonts w:ascii="宋体" w:hAnsi="宋体" w:eastAsia="宋体" w:cs="宋体"/>
                <w:b w:val="0"/>
                <w:kern w:val="0"/>
                <w:szCs w:val="21"/>
              </w:rPr>
            </w:pPr>
            <w:r>
              <w:rPr>
                <w:rFonts w:hint="eastAsia" w:ascii="宋体" w:hAnsi="宋体" w:eastAsia="宋体" w:cs="宋体"/>
                <w:b w:val="0"/>
                <w:kern w:val="0"/>
                <w:szCs w:val="21"/>
              </w:rPr>
              <w:t>其他资质</w:t>
            </w:r>
          </w:p>
        </w:tc>
        <w:tc>
          <w:tcPr>
            <w:tcW w:w="6339" w:type="dxa"/>
            <w:vAlign w:val="center"/>
          </w:tcPr>
          <w:p w14:paraId="2A375783">
            <w:pPr>
              <w:pStyle w:val="21"/>
              <w:ind w:firstLine="0" w:firstLineChars="0"/>
              <w:rPr>
                <w:rFonts w:ascii="宋体" w:hAnsi="宋体" w:eastAsia="宋体" w:cs="宋体"/>
                <w:b w:val="0"/>
                <w:bCs/>
                <w:szCs w:val="21"/>
              </w:rPr>
            </w:pPr>
            <w:r>
              <w:rPr>
                <w:rFonts w:hint="eastAsia" w:ascii="宋体" w:hAnsi="宋体" w:eastAsia="宋体" w:cs="宋体"/>
                <w:b w:val="0"/>
                <w:bCs/>
                <w:szCs w:val="21"/>
              </w:rPr>
              <w:t>★要求所投产品的生产厂商应是国家互联网应急响应中心网络安全应急服务国家级支撑单位，提供有效证书复印件。</w:t>
            </w:r>
          </w:p>
        </w:tc>
      </w:tr>
      <w:tr w14:paraId="72E4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004" w:type="dxa"/>
            <w:vAlign w:val="center"/>
          </w:tcPr>
          <w:p w14:paraId="4819B8E1">
            <w:pPr>
              <w:pStyle w:val="21"/>
              <w:ind w:firstLine="0" w:firstLineChars="0"/>
              <w:rPr>
                <w:rFonts w:ascii="宋体" w:hAnsi="宋体" w:eastAsia="宋体" w:cs="宋体"/>
                <w:b w:val="0"/>
                <w:kern w:val="0"/>
                <w:szCs w:val="21"/>
              </w:rPr>
            </w:pPr>
            <w:r>
              <w:rPr>
                <w:rFonts w:hint="eastAsia" w:ascii="宋体" w:hAnsi="宋体" w:eastAsia="宋体" w:cs="宋体"/>
                <w:b w:val="0"/>
                <w:kern w:val="0"/>
                <w:szCs w:val="21"/>
              </w:rPr>
              <w:t>其他要求</w:t>
            </w:r>
          </w:p>
        </w:tc>
        <w:tc>
          <w:tcPr>
            <w:tcW w:w="6339" w:type="dxa"/>
          </w:tcPr>
          <w:p w14:paraId="7C5CA1BB">
            <w:pPr>
              <w:pStyle w:val="12"/>
              <w:spacing w:line="360" w:lineRule="auto"/>
              <w:rPr>
                <w:rFonts w:ascii="宋体" w:hAnsi="宋体" w:eastAsia="宋体" w:cs="宋体"/>
                <w:bCs/>
                <w:szCs w:val="21"/>
              </w:rPr>
            </w:pPr>
            <w:r>
              <w:rPr>
                <w:rFonts w:hint="eastAsia" w:ascii="宋体" w:hAnsi="宋体" w:eastAsia="宋体" w:cs="宋体"/>
                <w:bCs/>
                <w:szCs w:val="21"/>
              </w:rPr>
              <w:t>中标人应对采购人所承诺的系统功能进行测试验证，全部通过后才能执行合同流程，测试中发现虚假应标的行为将予以废标处理并保留对该投标人及供应商追究相关责任的权利；中标人在合同签订后30个工作日内帮助采购人完成客户端软件安装完成。</w:t>
            </w:r>
          </w:p>
        </w:tc>
      </w:tr>
    </w:tbl>
    <w:p w14:paraId="04356829">
      <w:pPr>
        <w:pStyle w:val="12"/>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EB869"/>
    <w:multiLevelType w:val="singleLevel"/>
    <w:tmpl w:val="836EB869"/>
    <w:lvl w:ilvl="0" w:tentative="0">
      <w:start w:val="1"/>
      <w:numFmt w:val="chineseCounting"/>
      <w:suff w:val="nothing"/>
      <w:lvlText w:val="%1、"/>
      <w:lvlJc w:val="left"/>
      <w:rPr>
        <w:rFonts w:hint="eastAsia"/>
      </w:rPr>
    </w:lvl>
  </w:abstractNum>
  <w:abstractNum w:abstractNumId="1">
    <w:nsid w:val="062E42CC"/>
    <w:multiLevelType w:val="multilevel"/>
    <w:tmpl w:val="062E42CC"/>
    <w:lvl w:ilvl="0" w:tentative="0">
      <w:start w:val="1"/>
      <w:numFmt w:val="bullet"/>
      <w:pStyle w:val="42"/>
      <w:lvlText w:val=""/>
      <w:lvlJc w:val="left"/>
      <w:pPr>
        <w:tabs>
          <w:tab w:val="left" w:pos="839"/>
        </w:tabs>
        <w:ind w:left="840" w:hanging="420"/>
      </w:pPr>
      <w:rPr>
        <w:rFonts w:hint="default" w:ascii="Wingdings" w:hAnsi="Wingdings"/>
      </w:rPr>
    </w:lvl>
    <w:lvl w:ilvl="1" w:tentative="0">
      <w:start w:val="1"/>
      <w:numFmt w:val="lowerLetter"/>
      <w:lvlText w:val="%2)"/>
      <w:lvlJc w:val="left"/>
      <w:pPr>
        <w:ind w:left="1260" w:hanging="420"/>
      </w:pPr>
      <w:rPr>
        <w:rFonts w:hint="default"/>
      </w:rPr>
    </w:lvl>
    <w:lvl w:ilvl="2" w:tentative="0">
      <w:start w:val="1"/>
      <w:numFmt w:val="lowerRoman"/>
      <w:lvlText w:val="%3."/>
      <w:lvlJc w:val="right"/>
      <w:pPr>
        <w:ind w:left="1680" w:hanging="420"/>
      </w:pPr>
      <w:rPr>
        <w:rFonts w:hint="default"/>
      </w:rPr>
    </w:lvl>
    <w:lvl w:ilvl="3" w:tentative="0">
      <w:start w:val="1"/>
      <w:numFmt w:val="decimal"/>
      <w:lvlText w:val="%4."/>
      <w:lvlJc w:val="left"/>
      <w:pPr>
        <w:ind w:left="2100" w:hanging="420"/>
      </w:pPr>
      <w:rPr>
        <w:rFonts w:hint="default"/>
      </w:rPr>
    </w:lvl>
    <w:lvl w:ilvl="4" w:tentative="0">
      <w:start w:val="1"/>
      <w:numFmt w:val="lowerLetter"/>
      <w:lvlText w:val="%5)"/>
      <w:lvlJc w:val="left"/>
      <w:pPr>
        <w:ind w:left="2520" w:hanging="420"/>
      </w:pPr>
      <w:rPr>
        <w:rFonts w:hint="default"/>
      </w:rPr>
    </w:lvl>
    <w:lvl w:ilvl="5" w:tentative="0">
      <w:start w:val="1"/>
      <w:numFmt w:val="lowerRoman"/>
      <w:lvlText w:val="%6."/>
      <w:lvlJc w:val="right"/>
      <w:pPr>
        <w:ind w:left="2940" w:hanging="420"/>
      </w:pPr>
      <w:rPr>
        <w:rFonts w:hint="default"/>
      </w:rPr>
    </w:lvl>
    <w:lvl w:ilvl="6" w:tentative="0">
      <w:start w:val="1"/>
      <w:numFmt w:val="decimal"/>
      <w:lvlText w:val="%7."/>
      <w:lvlJc w:val="left"/>
      <w:pPr>
        <w:ind w:left="3360" w:hanging="420"/>
      </w:pPr>
      <w:rPr>
        <w:rFonts w:hint="default"/>
      </w:rPr>
    </w:lvl>
    <w:lvl w:ilvl="7" w:tentative="0">
      <w:start w:val="1"/>
      <w:numFmt w:val="lowerLetter"/>
      <w:lvlText w:val="%8)"/>
      <w:lvlJc w:val="left"/>
      <w:pPr>
        <w:ind w:left="3780" w:hanging="420"/>
      </w:pPr>
      <w:rPr>
        <w:rFonts w:hint="default"/>
      </w:rPr>
    </w:lvl>
    <w:lvl w:ilvl="8" w:tentative="0">
      <w:start w:val="1"/>
      <w:numFmt w:val="lowerRoman"/>
      <w:lvlText w:val="%9."/>
      <w:lvlJc w:val="right"/>
      <w:pPr>
        <w:ind w:left="4200" w:hanging="420"/>
      </w:pPr>
      <w:rPr>
        <w:rFonts w:hint="default"/>
      </w:rPr>
    </w:lvl>
  </w:abstractNum>
  <w:abstractNum w:abstractNumId="2">
    <w:nsid w:val="6BCF36B0"/>
    <w:multiLevelType w:val="multilevel"/>
    <w:tmpl w:val="6BCF36B0"/>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2" w:tentative="0">
      <w:start w:val="1"/>
      <w:numFmt w:val="decimal"/>
      <w:pStyle w:val="4"/>
      <w:lvlText w:val="%1.%2.%3"/>
      <w:lvlJc w:val="left"/>
      <w:pPr>
        <w:ind w:left="720" w:hanging="720"/>
      </w:pPr>
      <w:rPr>
        <w:rFonts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YTkwYzE4YzA2ZWJkNTI0NGI5YWJmNThkNTMzZGYifQ=="/>
  </w:docVars>
  <w:rsids>
    <w:rsidRoot w:val="003B13E2"/>
    <w:rsid w:val="001A3B60"/>
    <w:rsid w:val="003B13E2"/>
    <w:rsid w:val="00416146"/>
    <w:rsid w:val="005276BF"/>
    <w:rsid w:val="0073529F"/>
    <w:rsid w:val="00851677"/>
    <w:rsid w:val="00891DCE"/>
    <w:rsid w:val="00BF52BD"/>
    <w:rsid w:val="00CA33CF"/>
    <w:rsid w:val="00CD7312"/>
    <w:rsid w:val="00DA453F"/>
    <w:rsid w:val="00E25B8A"/>
    <w:rsid w:val="00E41F37"/>
    <w:rsid w:val="00EB743E"/>
    <w:rsid w:val="012C2953"/>
    <w:rsid w:val="01966C21"/>
    <w:rsid w:val="038D51FF"/>
    <w:rsid w:val="03B16AEB"/>
    <w:rsid w:val="03D96696"/>
    <w:rsid w:val="04267B2D"/>
    <w:rsid w:val="043F0BEF"/>
    <w:rsid w:val="04412B42"/>
    <w:rsid w:val="046B5540"/>
    <w:rsid w:val="05CA098C"/>
    <w:rsid w:val="0687062B"/>
    <w:rsid w:val="06A905A2"/>
    <w:rsid w:val="06AB256C"/>
    <w:rsid w:val="06EE4206"/>
    <w:rsid w:val="06F37A6F"/>
    <w:rsid w:val="06F51A39"/>
    <w:rsid w:val="07267E44"/>
    <w:rsid w:val="07FD6DF7"/>
    <w:rsid w:val="081163FE"/>
    <w:rsid w:val="0865499C"/>
    <w:rsid w:val="092601C0"/>
    <w:rsid w:val="09497E1A"/>
    <w:rsid w:val="09B039F5"/>
    <w:rsid w:val="0AC27E84"/>
    <w:rsid w:val="0AF142C5"/>
    <w:rsid w:val="0BD75BB1"/>
    <w:rsid w:val="0C160487"/>
    <w:rsid w:val="0C6D2071"/>
    <w:rsid w:val="0CD8573D"/>
    <w:rsid w:val="0D1B387B"/>
    <w:rsid w:val="0D740638"/>
    <w:rsid w:val="0D9A50E8"/>
    <w:rsid w:val="0DD2616E"/>
    <w:rsid w:val="0DDF2AFB"/>
    <w:rsid w:val="0DF02F5A"/>
    <w:rsid w:val="0E476D2C"/>
    <w:rsid w:val="0F7C2CF7"/>
    <w:rsid w:val="0FFC5BE6"/>
    <w:rsid w:val="10207B26"/>
    <w:rsid w:val="104E7E5F"/>
    <w:rsid w:val="106317C1"/>
    <w:rsid w:val="10727C56"/>
    <w:rsid w:val="109F7890"/>
    <w:rsid w:val="112A22DF"/>
    <w:rsid w:val="114E06C3"/>
    <w:rsid w:val="118B7221"/>
    <w:rsid w:val="11FF3C31"/>
    <w:rsid w:val="12374CB3"/>
    <w:rsid w:val="13561AB1"/>
    <w:rsid w:val="138E124B"/>
    <w:rsid w:val="13CC1D73"/>
    <w:rsid w:val="144B713C"/>
    <w:rsid w:val="14603C13"/>
    <w:rsid w:val="14F90946"/>
    <w:rsid w:val="157F5F94"/>
    <w:rsid w:val="15B36F13"/>
    <w:rsid w:val="15FA1D81"/>
    <w:rsid w:val="16022AE9"/>
    <w:rsid w:val="165A18B8"/>
    <w:rsid w:val="166B7621"/>
    <w:rsid w:val="16734728"/>
    <w:rsid w:val="167D5269"/>
    <w:rsid w:val="16900E36"/>
    <w:rsid w:val="170F26A3"/>
    <w:rsid w:val="17E256C1"/>
    <w:rsid w:val="180345B7"/>
    <w:rsid w:val="186D58D3"/>
    <w:rsid w:val="18C179CD"/>
    <w:rsid w:val="190B50EC"/>
    <w:rsid w:val="192E4C7B"/>
    <w:rsid w:val="19A835B8"/>
    <w:rsid w:val="1A9F789A"/>
    <w:rsid w:val="1AC13CB4"/>
    <w:rsid w:val="1AEE25CF"/>
    <w:rsid w:val="1AFA0F74"/>
    <w:rsid w:val="1B0911B7"/>
    <w:rsid w:val="1BF400B9"/>
    <w:rsid w:val="1BFE2CE6"/>
    <w:rsid w:val="1D091942"/>
    <w:rsid w:val="1D5D4359"/>
    <w:rsid w:val="1F036BF1"/>
    <w:rsid w:val="1F2D1BBE"/>
    <w:rsid w:val="1F707A57"/>
    <w:rsid w:val="1FAC4585"/>
    <w:rsid w:val="204131A1"/>
    <w:rsid w:val="21130FE1"/>
    <w:rsid w:val="214430CF"/>
    <w:rsid w:val="219519F6"/>
    <w:rsid w:val="21C27025"/>
    <w:rsid w:val="21F754B0"/>
    <w:rsid w:val="223360B0"/>
    <w:rsid w:val="224F650C"/>
    <w:rsid w:val="22C541CF"/>
    <w:rsid w:val="2308455E"/>
    <w:rsid w:val="235D02F2"/>
    <w:rsid w:val="23FF3873"/>
    <w:rsid w:val="24134E54"/>
    <w:rsid w:val="246F652F"/>
    <w:rsid w:val="24D30999"/>
    <w:rsid w:val="24F829C8"/>
    <w:rsid w:val="25630D1B"/>
    <w:rsid w:val="25755A44"/>
    <w:rsid w:val="25F56F08"/>
    <w:rsid w:val="27075144"/>
    <w:rsid w:val="27227E1F"/>
    <w:rsid w:val="28924EE2"/>
    <w:rsid w:val="290E3FAE"/>
    <w:rsid w:val="297665B1"/>
    <w:rsid w:val="29915199"/>
    <w:rsid w:val="2A7228D5"/>
    <w:rsid w:val="2A81520E"/>
    <w:rsid w:val="2AE80DE9"/>
    <w:rsid w:val="2B204A27"/>
    <w:rsid w:val="2B920D55"/>
    <w:rsid w:val="2C0F4794"/>
    <w:rsid w:val="2C1C3440"/>
    <w:rsid w:val="2C1D0F66"/>
    <w:rsid w:val="2C7E7C57"/>
    <w:rsid w:val="2CAE46E2"/>
    <w:rsid w:val="2D485B6F"/>
    <w:rsid w:val="2D6F134E"/>
    <w:rsid w:val="2E020414"/>
    <w:rsid w:val="2E786A33"/>
    <w:rsid w:val="2FED3B46"/>
    <w:rsid w:val="2FF975F4"/>
    <w:rsid w:val="308A2E69"/>
    <w:rsid w:val="326F5B17"/>
    <w:rsid w:val="329F0927"/>
    <w:rsid w:val="337C2D08"/>
    <w:rsid w:val="33B73A4E"/>
    <w:rsid w:val="343B642D"/>
    <w:rsid w:val="34FB796B"/>
    <w:rsid w:val="35ED19A9"/>
    <w:rsid w:val="3619454C"/>
    <w:rsid w:val="36D05553"/>
    <w:rsid w:val="37E8067A"/>
    <w:rsid w:val="38210D3C"/>
    <w:rsid w:val="38272362"/>
    <w:rsid w:val="38340B7F"/>
    <w:rsid w:val="38534E4E"/>
    <w:rsid w:val="39553AED"/>
    <w:rsid w:val="396C52DB"/>
    <w:rsid w:val="397C551E"/>
    <w:rsid w:val="39F06F70"/>
    <w:rsid w:val="3A217E73"/>
    <w:rsid w:val="3AD61FCA"/>
    <w:rsid w:val="3AE2165C"/>
    <w:rsid w:val="3B3360B0"/>
    <w:rsid w:val="3B6C2B3C"/>
    <w:rsid w:val="3B84690C"/>
    <w:rsid w:val="3B956DD5"/>
    <w:rsid w:val="3BD333EF"/>
    <w:rsid w:val="3CDB07AE"/>
    <w:rsid w:val="3D632551"/>
    <w:rsid w:val="3D7E429F"/>
    <w:rsid w:val="3E86299B"/>
    <w:rsid w:val="3EFF7691"/>
    <w:rsid w:val="3F4F5483"/>
    <w:rsid w:val="3F544847"/>
    <w:rsid w:val="3FC1012F"/>
    <w:rsid w:val="3FDA11F0"/>
    <w:rsid w:val="40EE65D6"/>
    <w:rsid w:val="4110479E"/>
    <w:rsid w:val="41C71300"/>
    <w:rsid w:val="425B7C9B"/>
    <w:rsid w:val="427D40B5"/>
    <w:rsid w:val="428716A1"/>
    <w:rsid w:val="444A7FC7"/>
    <w:rsid w:val="466458D2"/>
    <w:rsid w:val="467F664E"/>
    <w:rsid w:val="47833F1C"/>
    <w:rsid w:val="47E2253F"/>
    <w:rsid w:val="48C52312"/>
    <w:rsid w:val="49CE64DD"/>
    <w:rsid w:val="4A704E76"/>
    <w:rsid w:val="4AF01898"/>
    <w:rsid w:val="4AF75CF9"/>
    <w:rsid w:val="4B105AC6"/>
    <w:rsid w:val="4B152DA9"/>
    <w:rsid w:val="4B2E23F0"/>
    <w:rsid w:val="4B8D7117"/>
    <w:rsid w:val="4BA97CC9"/>
    <w:rsid w:val="4BD77D9C"/>
    <w:rsid w:val="4BE578AC"/>
    <w:rsid w:val="4C7B3413"/>
    <w:rsid w:val="4C83676C"/>
    <w:rsid w:val="4DE43F27"/>
    <w:rsid w:val="4E524648"/>
    <w:rsid w:val="4E8862BB"/>
    <w:rsid w:val="4EB052CB"/>
    <w:rsid w:val="4EEC23A6"/>
    <w:rsid w:val="4FB220CB"/>
    <w:rsid w:val="50504BB7"/>
    <w:rsid w:val="50874A7C"/>
    <w:rsid w:val="50C7131D"/>
    <w:rsid w:val="515F5A90"/>
    <w:rsid w:val="51606A47"/>
    <w:rsid w:val="51894824"/>
    <w:rsid w:val="5212481A"/>
    <w:rsid w:val="52EF2FFC"/>
    <w:rsid w:val="54843081"/>
    <w:rsid w:val="54CC5154"/>
    <w:rsid w:val="5520050A"/>
    <w:rsid w:val="55E738C7"/>
    <w:rsid w:val="55EF09CE"/>
    <w:rsid w:val="57081D47"/>
    <w:rsid w:val="576F626A"/>
    <w:rsid w:val="579559F4"/>
    <w:rsid w:val="57A270E0"/>
    <w:rsid w:val="57EB28DD"/>
    <w:rsid w:val="585F75DD"/>
    <w:rsid w:val="58AC2BA6"/>
    <w:rsid w:val="58ED74D9"/>
    <w:rsid w:val="59256E5C"/>
    <w:rsid w:val="59693361"/>
    <w:rsid w:val="59EC76FE"/>
    <w:rsid w:val="5AEB5C08"/>
    <w:rsid w:val="5B871DD5"/>
    <w:rsid w:val="5BB71F8E"/>
    <w:rsid w:val="5BC56D23"/>
    <w:rsid w:val="5C036F81"/>
    <w:rsid w:val="5C9F5A2F"/>
    <w:rsid w:val="5E875C48"/>
    <w:rsid w:val="5F125E59"/>
    <w:rsid w:val="5F5E78A6"/>
    <w:rsid w:val="5F73441E"/>
    <w:rsid w:val="5FCB6008"/>
    <w:rsid w:val="60A21B08"/>
    <w:rsid w:val="60DF51CC"/>
    <w:rsid w:val="6138147B"/>
    <w:rsid w:val="61502C69"/>
    <w:rsid w:val="61572249"/>
    <w:rsid w:val="61A62889"/>
    <w:rsid w:val="61D928CC"/>
    <w:rsid w:val="61E76F9C"/>
    <w:rsid w:val="62586279"/>
    <w:rsid w:val="627209BD"/>
    <w:rsid w:val="628F5A13"/>
    <w:rsid w:val="63B03E93"/>
    <w:rsid w:val="646D1D84"/>
    <w:rsid w:val="65C04BF1"/>
    <w:rsid w:val="65CE23AE"/>
    <w:rsid w:val="65D5377D"/>
    <w:rsid w:val="66390881"/>
    <w:rsid w:val="67AA29A7"/>
    <w:rsid w:val="67CE0D8B"/>
    <w:rsid w:val="67FC76A6"/>
    <w:rsid w:val="680D18B3"/>
    <w:rsid w:val="684D3A5E"/>
    <w:rsid w:val="686B0145"/>
    <w:rsid w:val="68C27790"/>
    <w:rsid w:val="697C6BB5"/>
    <w:rsid w:val="69912070"/>
    <w:rsid w:val="69BF737C"/>
    <w:rsid w:val="6A042A38"/>
    <w:rsid w:val="6AF01018"/>
    <w:rsid w:val="6B225676"/>
    <w:rsid w:val="6B8D44DA"/>
    <w:rsid w:val="6B911BF6"/>
    <w:rsid w:val="6C042FCD"/>
    <w:rsid w:val="6C550FEE"/>
    <w:rsid w:val="6C676365"/>
    <w:rsid w:val="6D260D22"/>
    <w:rsid w:val="6E1C5249"/>
    <w:rsid w:val="6E2E60E0"/>
    <w:rsid w:val="6F210A63"/>
    <w:rsid w:val="6F894BFD"/>
    <w:rsid w:val="6F9B59F7"/>
    <w:rsid w:val="70282A27"/>
    <w:rsid w:val="702C48A1"/>
    <w:rsid w:val="70A22DB5"/>
    <w:rsid w:val="70B663A3"/>
    <w:rsid w:val="713C4FB8"/>
    <w:rsid w:val="717A163C"/>
    <w:rsid w:val="71816E6E"/>
    <w:rsid w:val="725700E0"/>
    <w:rsid w:val="73060194"/>
    <w:rsid w:val="74933140"/>
    <w:rsid w:val="75273889"/>
    <w:rsid w:val="765B2F9F"/>
    <w:rsid w:val="779416A9"/>
    <w:rsid w:val="77EF67F0"/>
    <w:rsid w:val="78175E36"/>
    <w:rsid w:val="781B342A"/>
    <w:rsid w:val="785A7E98"/>
    <w:rsid w:val="78B97DC3"/>
    <w:rsid w:val="78C17E4E"/>
    <w:rsid w:val="78D635FC"/>
    <w:rsid w:val="794C1B10"/>
    <w:rsid w:val="79533C02"/>
    <w:rsid w:val="79C478F8"/>
    <w:rsid w:val="7AB12572"/>
    <w:rsid w:val="7AB23BF5"/>
    <w:rsid w:val="7B193A89"/>
    <w:rsid w:val="7B9A04D8"/>
    <w:rsid w:val="7BC65BA9"/>
    <w:rsid w:val="7C290862"/>
    <w:rsid w:val="7CF90201"/>
    <w:rsid w:val="7D123B4E"/>
    <w:rsid w:val="7D364FB1"/>
    <w:rsid w:val="7DED1FB1"/>
    <w:rsid w:val="7E9C0E44"/>
    <w:rsid w:val="7EED5B43"/>
    <w:rsid w:val="7FDE1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8"/>
    <w:qFormat/>
    <w:uiPriority w:val="0"/>
    <w:pPr>
      <w:keepNext/>
      <w:keepLines/>
      <w:widowControl/>
      <w:numPr>
        <w:ilvl w:val="0"/>
        <w:numId w:val="1"/>
      </w:numPr>
      <w:adjustRightInd w:val="0"/>
      <w:snapToGrid w:val="0"/>
      <w:spacing w:line="360" w:lineRule="auto"/>
      <w:jc w:val="left"/>
      <w:outlineLvl w:val="0"/>
    </w:pPr>
    <w:rPr>
      <w:rFonts w:ascii="Tahoma" w:hAnsi="Tahoma" w:cs="Times New Roman"/>
      <w:b/>
      <w:bCs/>
      <w:kern w:val="44"/>
      <w:sz w:val="28"/>
      <w:szCs w:val="44"/>
    </w:rPr>
  </w:style>
  <w:style w:type="paragraph" w:styleId="3">
    <w:name w:val="heading 2"/>
    <w:basedOn w:val="1"/>
    <w:next w:val="1"/>
    <w:link w:val="40"/>
    <w:unhideWhenUsed/>
    <w:qFormat/>
    <w:uiPriority w:val="9"/>
    <w:pPr>
      <w:keepNext/>
      <w:keepLines/>
      <w:widowControl/>
      <w:numPr>
        <w:ilvl w:val="1"/>
        <w:numId w:val="1"/>
      </w:numPr>
      <w:adjustRightInd w:val="0"/>
      <w:snapToGrid w:val="0"/>
      <w:spacing w:before="260" w:after="260" w:line="415" w:lineRule="auto"/>
      <w:jc w:val="left"/>
      <w:outlineLvl w:val="1"/>
    </w:pPr>
    <w:rPr>
      <w:rFonts w:ascii="宋体" w:hAnsi="宋体" w:eastAsia="宋体" w:cs="Times New Roman"/>
      <w:b/>
      <w:bCs/>
      <w:kern w:val="0"/>
      <w:sz w:val="24"/>
      <w:szCs w:val="32"/>
    </w:rPr>
  </w:style>
  <w:style w:type="paragraph" w:styleId="4">
    <w:name w:val="heading 3"/>
    <w:basedOn w:val="1"/>
    <w:next w:val="1"/>
    <w:link w:val="30"/>
    <w:unhideWhenUsed/>
    <w:qFormat/>
    <w:uiPriority w:val="0"/>
    <w:pPr>
      <w:keepNext/>
      <w:keepLines/>
      <w:widowControl/>
      <w:numPr>
        <w:ilvl w:val="2"/>
        <w:numId w:val="1"/>
      </w:numPr>
      <w:adjustRightInd w:val="0"/>
      <w:snapToGrid w:val="0"/>
      <w:spacing w:before="260" w:after="260" w:line="415" w:lineRule="auto"/>
      <w:jc w:val="left"/>
      <w:outlineLvl w:val="2"/>
    </w:pPr>
    <w:rPr>
      <w:rFonts w:ascii="宋体" w:hAnsi="宋体" w:eastAsia="宋体" w:cs="Times New Roman"/>
      <w:b/>
      <w:bCs/>
      <w:kern w:val="0"/>
      <w:sz w:val="24"/>
      <w:szCs w:val="32"/>
    </w:rPr>
  </w:style>
  <w:style w:type="paragraph" w:styleId="5">
    <w:name w:val="heading 4"/>
    <w:basedOn w:val="1"/>
    <w:next w:val="1"/>
    <w:link w:val="31"/>
    <w:semiHidden/>
    <w:unhideWhenUsed/>
    <w:qFormat/>
    <w:uiPriority w:val="0"/>
    <w:pPr>
      <w:keepNext/>
      <w:keepLines/>
      <w:widowControl/>
      <w:numPr>
        <w:ilvl w:val="3"/>
        <w:numId w:val="1"/>
      </w:numPr>
      <w:adjustRightInd w:val="0"/>
      <w:snapToGrid w:val="0"/>
      <w:spacing w:before="280" w:after="290" w:line="376" w:lineRule="auto"/>
      <w:jc w:val="left"/>
      <w:outlineLvl w:val="3"/>
    </w:pPr>
    <w:rPr>
      <w:rFonts w:ascii="Cambria" w:hAnsi="Cambria" w:eastAsia="宋体" w:cs="Times New Roman"/>
      <w:b/>
      <w:bCs/>
      <w:kern w:val="0"/>
      <w:sz w:val="28"/>
      <w:szCs w:val="28"/>
    </w:rPr>
  </w:style>
  <w:style w:type="paragraph" w:styleId="6">
    <w:name w:val="heading 5"/>
    <w:basedOn w:val="1"/>
    <w:next w:val="1"/>
    <w:link w:val="32"/>
    <w:semiHidden/>
    <w:unhideWhenUsed/>
    <w:qFormat/>
    <w:uiPriority w:val="0"/>
    <w:pPr>
      <w:keepNext/>
      <w:keepLines/>
      <w:widowControl/>
      <w:numPr>
        <w:ilvl w:val="4"/>
        <w:numId w:val="1"/>
      </w:numPr>
      <w:adjustRightInd w:val="0"/>
      <w:snapToGrid w:val="0"/>
      <w:spacing w:before="280" w:after="290" w:line="376" w:lineRule="auto"/>
      <w:jc w:val="left"/>
      <w:outlineLvl w:val="4"/>
    </w:pPr>
    <w:rPr>
      <w:rFonts w:ascii="Tahoma" w:hAnsi="Tahoma" w:eastAsia="微软雅黑" w:cs="Times New Roman"/>
      <w:b/>
      <w:bCs/>
      <w:kern w:val="0"/>
      <w:sz w:val="28"/>
      <w:szCs w:val="28"/>
    </w:rPr>
  </w:style>
  <w:style w:type="paragraph" w:styleId="7">
    <w:name w:val="heading 6"/>
    <w:basedOn w:val="1"/>
    <w:next w:val="1"/>
    <w:link w:val="33"/>
    <w:semiHidden/>
    <w:unhideWhenUsed/>
    <w:qFormat/>
    <w:uiPriority w:val="0"/>
    <w:pPr>
      <w:keepNext/>
      <w:keepLines/>
      <w:widowControl/>
      <w:numPr>
        <w:ilvl w:val="5"/>
        <w:numId w:val="1"/>
      </w:numPr>
      <w:adjustRightInd w:val="0"/>
      <w:snapToGrid w:val="0"/>
      <w:spacing w:before="240" w:after="64" w:line="320" w:lineRule="auto"/>
      <w:jc w:val="left"/>
      <w:outlineLvl w:val="5"/>
    </w:pPr>
    <w:rPr>
      <w:rFonts w:ascii="Cambria" w:hAnsi="Cambria" w:eastAsia="宋体" w:cs="Times New Roman"/>
      <w:b/>
      <w:bCs/>
      <w:kern w:val="0"/>
      <w:sz w:val="24"/>
      <w:szCs w:val="24"/>
    </w:rPr>
  </w:style>
  <w:style w:type="paragraph" w:styleId="8">
    <w:name w:val="heading 7"/>
    <w:basedOn w:val="1"/>
    <w:next w:val="1"/>
    <w:link w:val="34"/>
    <w:semiHidden/>
    <w:unhideWhenUsed/>
    <w:qFormat/>
    <w:uiPriority w:val="0"/>
    <w:pPr>
      <w:keepNext/>
      <w:keepLines/>
      <w:widowControl/>
      <w:numPr>
        <w:ilvl w:val="6"/>
        <w:numId w:val="1"/>
      </w:numPr>
      <w:adjustRightInd w:val="0"/>
      <w:snapToGrid w:val="0"/>
      <w:spacing w:before="240" w:after="64" w:line="320" w:lineRule="auto"/>
      <w:jc w:val="left"/>
      <w:outlineLvl w:val="6"/>
    </w:pPr>
    <w:rPr>
      <w:rFonts w:ascii="Tahoma" w:hAnsi="Tahoma" w:eastAsia="微软雅黑" w:cs="Times New Roman"/>
      <w:b/>
      <w:bCs/>
      <w:kern w:val="0"/>
      <w:sz w:val="24"/>
      <w:szCs w:val="24"/>
    </w:rPr>
  </w:style>
  <w:style w:type="paragraph" w:styleId="9">
    <w:name w:val="heading 8"/>
    <w:basedOn w:val="1"/>
    <w:next w:val="1"/>
    <w:link w:val="35"/>
    <w:semiHidden/>
    <w:unhideWhenUsed/>
    <w:qFormat/>
    <w:uiPriority w:val="0"/>
    <w:pPr>
      <w:keepNext/>
      <w:keepLines/>
      <w:widowControl/>
      <w:numPr>
        <w:ilvl w:val="7"/>
        <w:numId w:val="1"/>
      </w:numPr>
      <w:adjustRightInd w:val="0"/>
      <w:snapToGrid w:val="0"/>
      <w:spacing w:before="240" w:after="64" w:line="320" w:lineRule="auto"/>
      <w:jc w:val="left"/>
      <w:outlineLvl w:val="7"/>
    </w:pPr>
    <w:rPr>
      <w:rFonts w:ascii="Cambria" w:hAnsi="Cambria" w:eastAsia="宋体" w:cs="Times New Roman"/>
      <w:kern w:val="0"/>
      <w:sz w:val="24"/>
      <w:szCs w:val="24"/>
    </w:rPr>
  </w:style>
  <w:style w:type="paragraph" w:styleId="10">
    <w:name w:val="heading 9"/>
    <w:basedOn w:val="1"/>
    <w:next w:val="1"/>
    <w:link w:val="36"/>
    <w:semiHidden/>
    <w:unhideWhenUsed/>
    <w:qFormat/>
    <w:uiPriority w:val="0"/>
    <w:pPr>
      <w:keepNext/>
      <w:keepLines/>
      <w:widowControl/>
      <w:numPr>
        <w:ilvl w:val="8"/>
        <w:numId w:val="1"/>
      </w:numPr>
      <w:adjustRightInd w:val="0"/>
      <w:snapToGrid w:val="0"/>
      <w:spacing w:before="240" w:after="64" w:line="320" w:lineRule="auto"/>
      <w:jc w:val="left"/>
      <w:outlineLvl w:val="8"/>
    </w:pPr>
    <w:rPr>
      <w:rFonts w:ascii="Cambria" w:hAnsi="Cambria" w:eastAsia="宋体" w:cs="Times New Roman"/>
      <w:kern w:val="0"/>
      <w:szCs w:val="21"/>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rPr>
      <w:rFonts w:ascii="Calibri" w:hAnsi="Calibri" w:eastAsia="宋体" w:cs="Times New Roman"/>
    </w:rPr>
  </w:style>
  <w:style w:type="paragraph" w:styleId="12">
    <w:name w:val="Body Text"/>
    <w:basedOn w:val="1"/>
    <w:next w:val="13"/>
    <w:qFormat/>
    <w:uiPriority w:val="0"/>
    <w:pPr>
      <w:spacing w:after="120"/>
    </w:pPr>
    <w:rPr>
      <w:rFonts w:ascii="Calibri" w:hAnsi="Calibri" w:eastAsia="宋体" w:cs="Times New Roman"/>
    </w:rPr>
  </w:style>
  <w:style w:type="paragraph" w:styleId="13">
    <w:name w:val="Body Text First Indent"/>
    <w:basedOn w:val="12"/>
    <w:semiHidden/>
    <w:unhideWhenUsed/>
    <w:qFormat/>
    <w:uiPriority w:val="99"/>
    <w:pPr>
      <w:spacing w:after="120"/>
      <w:ind w:firstLine="420" w:firstLineChars="100"/>
    </w:pPr>
    <w:rPr>
      <w:rFonts w:ascii="Times New Roman" w:eastAsia="宋体"/>
    </w:rPr>
  </w:style>
  <w:style w:type="paragraph" w:styleId="14">
    <w:name w:val="Body Text Indent"/>
    <w:basedOn w:val="1"/>
    <w:semiHidden/>
    <w:unhideWhenUsed/>
    <w:qFormat/>
    <w:uiPriority w:val="99"/>
    <w:pPr>
      <w:spacing w:after="120"/>
      <w:ind w:left="420" w:leftChars="200"/>
    </w:pPr>
  </w:style>
  <w:style w:type="paragraph" w:styleId="15">
    <w:name w:val="Plain Text"/>
    <w:basedOn w:val="1"/>
    <w:qFormat/>
    <w:uiPriority w:val="0"/>
    <w:rPr>
      <w:rFonts w:hAnsi="Courier New" w:cs="Times New Roman"/>
      <w:szCs w:val="20"/>
    </w:rPr>
  </w:style>
  <w:style w:type="paragraph" w:styleId="16">
    <w:name w:val="Body Text Indent 2"/>
    <w:basedOn w:val="1"/>
    <w:qFormat/>
    <w:uiPriority w:val="0"/>
    <w:rPr>
      <w:rFonts w:ascii="Arial" w:hAnsi="Arial" w:eastAsia="仿宋_GB2312"/>
      <w:b/>
    </w:rPr>
  </w:style>
  <w:style w:type="paragraph" w:styleId="17">
    <w:name w:val="footer"/>
    <w:basedOn w:val="1"/>
    <w:link w:val="27"/>
    <w:unhideWhenUsed/>
    <w:qFormat/>
    <w:uiPriority w:val="99"/>
    <w:pPr>
      <w:tabs>
        <w:tab w:val="center" w:pos="4153"/>
        <w:tab w:val="right" w:pos="8306"/>
      </w:tabs>
      <w:snapToGrid w:val="0"/>
      <w:jc w:val="left"/>
    </w:pPr>
    <w:rPr>
      <w:sz w:val="18"/>
      <w:szCs w:val="18"/>
    </w:rPr>
  </w:style>
  <w:style w:type="paragraph" w:styleId="18">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2"/>
    <w:basedOn w:val="1"/>
    <w:next w:val="1"/>
    <w:unhideWhenUsed/>
    <w:qFormat/>
    <w:uiPriority w:val="39"/>
    <w:pPr>
      <w:ind w:left="420" w:leftChars="200"/>
    </w:p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Body Text First Indent 2"/>
    <w:basedOn w:val="14"/>
    <w:next w:val="13"/>
    <w:unhideWhenUsed/>
    <w:qFormat/>
    <w:uiPriority w:val="99"/>
    <w:pPr>
      <w:widowControl w:val="0"/>
      <w:adjustRightInd/>
      <w:snapToGrid/>
      <w:spacing w:line="360" w:lineRule="auto"/>
      <w:ind w:left="0" w:leftChars="0" w:firstLine="420" w:firstLineChars="200"/>
      <w:jc w:val="both"/>
    </w:pPr>
    <w:rPr>
      <w:rFonts w:asciiTheme="minorHAnsi" w:hAnsiTheme="minorHAnsi" w:eastAsiaTheme="minorEastAsia"/>
      <w:b/>
      <w:kern w:val="2"/>
      <w:sz w:val="21"/>
      <w:szCs w:val="24"/>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正文-公1"/>
    <w:basedOn w:val="1"/>
    <w:qFormat/>
    <w:uiPriority w:val="0"/>
    <w:pPr>
      <w:ind w:firstLine="200" w:firstLineChars="200"/>
    </w:pPr>
    <w:rPr>
      <w:color w:val="000000"/>
    </w:rPr>
  </w:style>
  <w:style w:type="character" w:customStyle="1" w:styleId="26">
    <w:name w:val="页眉 字符"/>
    <w:basedOn w:val="24"/>
    <w:link w:val="18"/>
    <w:qFormat/>
    <w:uiPriority w:val="99"/>
    <w:rPr>
      <w:sz w:val="18"/>
      <w:szCs w:val="18"/>
    </w:rPr>
  </w:style>
  <w:style w:type="character" w:customStyle="1" w:styleId="27">
    <w:name w:val="页脚 字符"/>
    <w:basedOn w:val="24"/>
    <w:link w:val="17"/>
    <w:qFormat/>
    <w:uiPriority w:val="99"/>
    <w:rPr>
      <w:sz w:val="18"/>
      <w:szCs w:val="18"/>
    </w:rPr>
  </w:style>
  <w:style w:type="character" w:customStyle="1" w:styleId="28">
    <w:name w:val="标题 1 字符"/>
    <w:basedOn w:val="24"/>
    <w:link w:val="2"/>
    <w:qFormat/>
    <w:uiPriority w:val="0"/>
    <w:rPr>
      <w:rFonts w:ascii="Tahoma" w:hAnsi="Tahoma" w:cs="Times New Roman"/>
      <w:b/>
      <w:bCs/>
      <w:kern w:val="44"/>
      <w:sz w:val="28"/>
      <w:szCs w:val="44"/>
    </w:rPr>
  </w:style>
  <w:style w:type="character" w:customStyle="1" w:styleId="29">
    <w:name w:val="标题 2 字符"/>
    <w:basedOn w:val="24"/>
    <w:link w:val="3"/>
    <w:qFormat/>
    <w:uiPriority w:val="9"/>
    <w:rPr>
      <w:rFonts w:ascii="宋体" w:hAnsi="宋体" w:eastAsia="宋体" w:cs="Times New Roman"/>
      <w:b/>
      <w:bCs/>
      <w:kern w:val="0"/>
      <w:sz w:val="24"/>
      <w:szCs w:val="32"/>
    </w:rPr>
  </w:style>
  <w:style w:type="character" w:customStyle="1" w:styleId="30">
    <w:name w:val="标题 3 字符"/>
    <w:basedOn w:val="24"/>
    <w:link w:val="4"/>
    <w:qFormat/>
    <w:uiPriority w:val="0"/>
    <w:rPr>
      <w:rFonts w:ascii="宋体" w:hAnsi="宋体" w:eastAsia="宋体" w:cs="Times New Roman"/>
      <w:b/>
      <w:bCs/>
      <w:kern w:val="0"/>
      <w:sz w:val="24"/>
      <w:szCs w:val="32"/>
    </w:rPr>
  </w:style>
  <w:style w:type="character" w:customStyle="1" w:styleId="31">
    <w:name w:val="标题 4 字符"/>
    <w:basedOn w:val="24"/>
    <w:link w:val="5"/>
    <w:semiHidden/>
    <w:qFormat/>
    <w:uiPriority w:val="0"/>
    <w:rPr>
      <w:rFonts w:ascii="Cambria" w:hAnsi="Cambria" w:eastAsia="宋体" w:cs="Times New Roman"/>
      <w:b/>
      <w:bCs/>
      <w:kern w:val="0"/>
      <w:sz w:val="28"/>
      <w:szCs w:val="28"/>
    </w:rPr>
  </w:style>
  <w:style w:type="character" w:customStyle="1" w:styleId="32">
    <w:name w:val="标题 5 字符"/>
    <w:basedOn w:val="24"/>
    <w:link w:val="6"/>
    <w:semiHidden/>
    <w:qFormat/>
    <w:uiPriority w:val="0"/>
    <w:rPr>
      <w:rFonts w:ascii="Tahoma" w:hAnsi="Tahoma" w:eastAsia="微软雅黑" w:cs="Times New Roman"/>
      <w:b/>
      <w:bCs/>
      <w:kern w:val="0"/>
      <w:sz w:val="28"/>
      <w:szCs w:val="28"/>
    </w:rPr>
  </w:style>
  <w:style w:type="character" w:customStyle="1" w:styleId="33">
    <w:name w:val="标题 6 字符"/>
    <w:basedOn w:val="24"/>
    <w:link w:val="7"/>
    <w:semiHidden/>
    <w:qFormat/>
    <w:uiPriority w:val="0"/>
    <w:rPr>
      <w:rFonts w:ascii="Cambria" w:hAnsi="Cambria" w:eastAsia="宋体" w:cs="Times New Roman"/>
      <w:b/>
      <w:bCs/>
      <w:kern w:val="0"/>
      <w:sz w:val="24"/>
      <w:szCs w:val="24"/>
    </w:rPr>
  </w:style>
  <w:style w:type="character" w:customStyle="1" w:styleId="34">
    <w:name w:val="标题 7 字符"/>
    <w:basedOn w:val="24"/>
    <w:link w:val="8"/>
    <w:semiHidden/>
    <w:qFormat/>
    <w:uiPriority w:val="0"/>
    <w:rPr>
      <w:rFonts w:ascii="Tahoma" w:hAnsi="Tahoma" w:eastAsia="微软雅黑" w:cs="Times New Roman"/>
      <w:b/>
      <w:bCs/>
      <w:kern w:val="0"/>
      <w:sz w:val="24"/>
      <w:szCs w:val="24"/>
    </w:rPr>
  </w:style>
  <w:style w:type="character" w:customStyle="1" w:styleId="35">
    <w:name w:val="标题 8 字符"/>
    <w:basedOn w:val="24"/>
    <w:link w:val="9"/>
    <w:semiHidden/>
    <w:qFormat/>
    <w:uiPriority w:val="0"/>
    <w:rPr>
      <w:rFonts w:ascii="Cambria" w:hAnsi="Cambria" w:eastAsia="宋体" w:cs="Times New Roman"/>
      <w:kern w:val="0"/>
      <w:sz w:val="24"/>
      <w:szCs w:val="24"/>
    </w:rPr>
  </w:style>
  <w:style w:type="character" w:customStyle="1" w:styleId="36">
    <w:name w:val="标题 9 字符"/>
    <w:basedOn w:val="24"/>
    <w:link w:val="10"/>
    <w:semiHidden/>
    <w:qFormat/>
    <w:uiPriority w:val="0"/>
    <w:rPr>
      <w:rFonts w:ascii="Cambria" w:hAnsi="Cambria" w:eastAsia="宋体" w:cs="Times New Roman"/>
      <w:kern w:val="0"/>
      <w:szCs w:val="21"/>
    </w:rPr>
  </w:style>
  <w:style w:type="character" w:customStyle="1" w:styleId="37">
    <w:name w:val="NormalCharacter"/>
    <w:qFormat/>
    <w:uiPriority w:val="0"/>
  </w:style>
  <w:style w:type="paragraph" w:customStyle="1" w:styleId="38">
    <w:name w:val="B表格正文"/>
    <w:basedOn w:val="1"/>
    <w:qFormat/>
    <w:uiPriority w:val="0"/>
    <w:pPr>
      <w:widowControl/>
      <w:jc w:val="left"/>
    </w:pPr>
    <w:rPr>
      <w:rFonts w:ascii="Calibri" w:hAnsi="Calibri" w:eastAsia="黑体" w:cs="Times New Roman"/>
      <w:szCs w:val="21"/>
    </w:rPr>
  </w:style>
  <w:style w:type="paragraph" w:styleId="39">
    <w:name w:val="List Paragraph"/>
    <w:basedOn w:val="1"/>
    <w:qFormat/>
    <w:uiPriority w:val="0"/>
    <w:pPr>
      <w:widowControl/>
      <w:adjustRightInd w:val="0"/>
      <w:snapToGrid w:val="0"/>
      <w:spacing w:after="200"/>
      <w:ind w:firstLine="420" w:firstLineChars="200"/>
      <w:jc w:val="left"/>
    </w:pPr>
    <w:rPr>
      <w:rFonts w:ascii="Tahoma" w:hAnsi="Tahoma" w:eastAsia="微软雅黑" w:cs="Times New Roman"/>
      <w:kern w:val="0"/>
      <w:sz w:val="22"/>
      <w:szCs w:val="22"/>
    </w:rPr>
  </w:style>
  <w:style w:type="character" w:customStyle="1" w:styleId="40">
    <w:name w:val="标题 2 Char"/>
    <w:link w:val="3"/>
    <w:qFormat/>
    <w:uiPriority w:val="0"/>
    <w:rPr>
      <w:rFonts w:ascii="Arial" w:hAnsi="Arial" w:eastAsia="黑体" w:cs="Times New Roman"/>
      <w:b/>
      <w:sz w:val="32"/>
    </w:rPr>
  </w:style>
  <w:style w:type="paragraph" w:customStyle="1" w:styleId="41">
    <w:name w:val="表格并列项"/>
    <w:basedOn w:val="42"/>
    <w:qFormat/>
    <w:uiPriority w:val="0"/>
    <w:pPr>
      <w:tabs>
        <w:tab w:val="left" w:pos="839"/>
      </w:tabs>
      <w:spacing w:before="40" w:after="40"/>
      <w:ind w:left="840"/>
    </w:pPr>
  </w:style>
  <w:style w:type="paragraph" w:customStyle="1" w:styleId="42">
    <w:name w:val="并列项"/>
    <w:basedOn w:val="39"/>
    <w:qFormat/>
    <w:uiPriority w:val="0"/>
    <w:pPr>
      <w:widowControl w:val="0"/>
      <w:numPr>
        <w:ilvl w:val="0"/>
        <w:numId w:val="2"/>
      </w:numPr>
      <w:adjustRightInd/>
      <w:spacing w:after="0"/>
      <w:ind w:left="420"/>
      <w:contextualSpacing/>
      <w:jc w:val="both"/>
    </w:pPr>
    <w:rPr>
      <w:rFonts w:ascii="Times New Roman" w:hAnsi="Times New Roman" w:cs="Cambria" w:eastAsiaTheme="minorEastAsia"/>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Pages>
  <Words>2407</Words>
  <Characters>2729</Characters>
  <Lines>12</Lines>
  <Paragraphs>3</Paragraphs>
  <TotalTime>3</TotalTime>
  <ScaleCrop>false</ScaleCrop>
  <LinksUpToDate>false</LinksUpToDate>
  <CharactersWithSpaces>2769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2023-09-11T06:44:00Z</dcterms:created>
  <dc:creator>Administrator</dc:creator>
  <cp:lastModifiedBy>广</cp:lastModifiedBy>
  <dcterms:modified xsi:type="dcterms:W3CDTF">2024-11-20T03:25:17Z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84A69B7C42C0420DB9D45F9E61F31D25_13</vt:lpwstr>
  </property>
</Properties>
</file>