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color w:val="000000"/>
          <w:sz w:val="32"/>
          <w:szCs w:val="32"/>
        </w:rPr>
      </w:pPr>
      <w:r>
        <w:rPr>
          <w:rFonts w:hint="eastAsia" w:ascii="黑体" w:hAnsi="黑体" w:eastAsia="黑体"/>
          <w:b/>
          <w:color w:val="000000"/>
          <w:sz w:val="32"/>
          <w:szCs w:val="32"/>
        </w:rPr>
        <w:t>医用耗材精细化管理服务外包项目市场调研公告</w:t>
      </w:r>
    </w:p>
    <w:p>
      <w:pPr>
        <w:widowControl/>
        <w:spacing w:before="240" w:beforeLines="100" w:after="240" w:afterLines="100" w:line="360" w:lineRule="auto"/>
        <w:ind w:firstLine="420" w:firstLineChars="200"/>
        <w:rPr>
          <w:rFonts w:hint="eastAsia" w:ascii="宋体" w:hAnsi="宋体" w:cs="Times New Roman"/>
          <w:kern w:val="0"/>
          <w:szCs w:val="21"/>
          <w:lang w:val="en-US" w:eastAsia="zh-CN"/>
        </w:rPr>
      </w:pPr>
      <w:r>
        <w:rPr>
          <w:rFonts w:hint="eastAsia" w:ascii="宋体" w:hAnsi="宋体" w:cs="Times New Roman"/>
          <w:kern w:val="0"/>
          <w:szCs w:val="21"/>
          <w:lang w:val="en-US" w:eastAsia="zh-CN"/>
        </w:rPr>
        <w:t>我院医用耗材精细化管理服务外包项目合同即将到期，需重新进行招标，现就该项目进行市场调研，欢迎有投标意向且符合要求的供应商前来参加。</w:t>
      </w:r>
    </w:p>
    <w:p>
      <w:pPr>
        <w:pStyle w:val="3"/>
        <w:rPr>
          <w:rFonts w:hint="eastAsia" w:ascii="宋体" w:hAnsi="宋体" w:eastAsia="宋体"/>
          <w:bCs w:val="0"/>
          <w:sz w:val="21"/>
          <w:szCs w:val="21"/>
          <w:lang w:eastAsia="zh-CN"/>
        </w:rPr>
      </w:pPr>
      <w:r>
        <w:rPr>
          <w:rFonts w:hint="eastAsia" w:ascii="宋体" w:hAnsi="宋体" w:eastAsia="宋体"/>
          <w:bCs w:val="0"/>
          <w:sz w:val="21"/>
          <w:szCs w:val="21"/>
        </w:rPr>
        <w:t>一、</w:t>
      </w:r>
      <w:r>
        <w:rPr>
          <w:rFonts w:hint="eastAsia" w:ascii="宋体" w:hAnsi="宋体" w:eastAsia="宋体"/>
          <w:bCs w:val="0"/>
          <w:sz w:val="21"/>
          <w:szCs w:val="21"/>
          <w:lang w:eastAsia="zh-CN"/>
        </w:rPr>
        <w:t>项目内容</w:t>
      </w:r>
    </w:p>
    <w:tbl>
      <w:tblPr>
        <w:tblStyle w:val="9"/>
        <w:tblW w:w="959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515"/>
        <w:gridCol w:w="2374"/>
        <w:gridCol w:w="371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97" w:hRule="atLeast"/>
          <w:jc w:val="center"/>
        </w:trPr>
        <w:tc>
          <w:tcPr>
            <w:tcW w:w="3515" w:type="dxa"/>
            <w:tcBorders>
              <w:top w:val="single" w:color="auto" w:sz="4" w:space="0"/>
              <w:left w:val="single" w:color="auto" w:sz="4" w:space="0"/>
              <w:bottom w:val="single" w:color="auto" w:sz="4" w:space="0"/>
              <w:right w:val="single" w:color="auto" w:sz="4" w:space="0"/>
            </w:tcBorders>
            <w:noWrap w:val="0"/>
            <w:vAlign w:val="center"/>
          </w:tcPr>
          <w:p>
            <w:pPr>
              <w:widowControl/>
              <w:spacing w:before="240" w:beforeLines="100" w:after="240" w:afterLines="100" w:line="360" w:lineRule="auto"/>
              <w:ind w:firstLine="420" w:firstLineChars="200"/>
              <w:jc w:val="center"/>
              <w:rPr>
                <w:rFonts w:hint="eastAsia" w:ascii="宋体" w:hAnsi="宋体" w:cs="Times New Roman"/>
                <w:kern w:val="0"/>
                <w:szCs w:val="21"/>
                <w:lang w:eastAsia="zh-CN"/>
              </w:rPr>
            </w:pPr>
            <w:r>
              <w:rPr>
                <w:rFonts w:hint="eastAsia" w:ascii="宋体" w:hAnsi="宋体" w:cs="Times New Roman"/>
                <w:kern w:val="0"/>
                <w:szCs w:val="21"/>
              </w:rPr>
              <w:t>项目</w:t>
            </w:r>
            <w:r>
              <w:rPr>
                <w:rFonts w:hint="eastAsia" w:ascii="宋体" w:hAnsi="宋体" w:cs="Times New Roman"/>
                <w:kern w:val="0"/>
                <w:szCs w:val="21"/>
                <w:lang w:eastAsia="zh-CN"/>
              </w:rPr>
              <w:t>名称</w:t>
            </w:r>
          </w:p>
        </w:tc>
        <w:tc>
          <w:tcPr>
            <w:tcW w:w="2374" w:type="dxa"/>
            <w:tcBorders>
              <w:top w:val="single" w:color="auto" w:sz="4" w:space="0"/>
              <w:left w:val="single" w:color="auto" w:sz="4" w:space="0"/>
              <w:bottom w:val="single" w:color="auto" w:sz="4" w:space="0"/>
              <w:right w:val="single" w:color="auto" w:sz="4" w:space="0"/>
            </w:tcBorders>
            <w:noWrap w:val="0"/>
            <w:vAlign w:val="center"/>
          </w:tcPr>
          <w:p>
            <w:pPr>
              <w:widowControl/>
              <w:spacing w:before="240" w:beforeLines="100" w:after="240" w:afterLines="100" w:line="360" w:lineRule="auto"/>
              <w:ind w:firstLine="420" w:firstLineChars="200"/>
              <w:jc w:val="center"/>
              <w:rPr>
                <w:rFonts w:hint="eastAsia" w:ascii="宋体" w:hAnsi="宋体" w:cs="Times New Roman"/>
                <w:kern w:val="0"/>
                <w:szCs w:val="21"/>
              </w:rPr>
            </w:pPr>
            <w:r>
              <w:rPr>
                <w:rFonts w:hint="eastAsia" w:ascii="宋体" w:hAnsi="宋体" w:cs="Times New Roman"/>
                <w:kern w:val="0"/>
                <w:szCs w:val="21"/>
              </w:rPr>
              <w:t>服务期限</w:t>
            </w:r>
          </w:p>
        </w:tc>
        <w:tc>
          <w:tcPr>
            <w:tcW w:w="3710" w:type="dxa"/>
            <w:tcBorders>
              <w:top w:val="single" w:color="auto" w:sz="4" w:space="0"/>
              <w:left w:val="single" w:color="auto" w:sz="4" w:space="0"/>
              <w:bottom w:val="single" w:color="auto" w:sz="4" w:space="0"/>
              <w:right w:val="single" w:color="auto" w:sz="4" w:space="0"/>
            </w:tcBorders>
            <w:noWrap w:val="0"/>
            <w:vAlign w:val="center"/>
          </w:tcPr>
          <w:p>
            <w:pPr>
              <w:widowControl/>
              <w:spacing w:before="240" w:beforeLines="100" w:after="240" w:afterLines="100" w:line="360" w:lineRule="auto"/>
              <w:ind w:firstLine="420" w:firstLineChars="200"/>
              <w:jc w:val="center"/>
              <w:rPr>
                <w:rFonts w:hint="eastAsia" w:ascii="宋体" w:hAnsi="宋体" w:cs="Times New Roman"/>
                <w:kern w:val="0"/>
                <w:szCs w:val="21"/>
              </w:rPr>
            </w:pPr>
            <w:r>
              <w:rPr>
                <w:rFonts w:hint="eastAsia" w:ascii="宋体" w:hAnsi="宋体" w:cs="Times New Roman"/>
                <w:kern w:val="0"/>
                <w:szCs w:val="21"/>
              </w:rPr>
              <w:t>服务费收取方式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37" w:hRule="atLeast"/>
          <w:jc w:val="center"/>
        </w:trPr>
        <w:tc>
          <w:tcPr>
            <w:tcW w:w="3515" w:type="dxa"/>
            <w:tcBorders>
              <w:top w:val="single" w:color="auto" w:sz="4" w:space="0"/>
              <w:left w:val="single" w:color="auto" w:sz="4" w:space="0"/>
              <w:bottom w:val="single" w:color="auto" w:sz="4" w:space="0"/>
              <w:right w:val="single" w:color="auto" w:sz="4" w:space="0"/>
            </w:tcBorders>
            <w:noWrap w:val="0"/>
            <w:vAlign w:val="center"/>
          </w:tcPr>
          <w:p>
            <w:pPr>
              <w:widowControl/>
              <w:spacing w:before="240" w:beforeLines="100" w:after="240" w:afterLines="100" w:line="360" w:lineRule="auto"/>
              <w:jc w:val="center"/>
              <w:rPr>
                <w:rFonts w:hint="eastAsia" w:ascii="宋体" w:hAnsi="宋体" w:cs="Times New Roman"/>
                <w:kern w:val="0"/>
                <w:szCs w:val="21"/>
              </w:rPr>
            </w:pPr>
            <w:r>
              <w:rPr>
                <w:rFonts w:hint="eastAsia" w:ascii="宋体" w:hAnsi="宋体" w:cs="Times New Roman"/>
                <w:kern w:val="0"/>
                <w:szCs w:val="21"/>
                <w:lang w:val="en-US" w:eastAsia="zh-CN"/>
              </w:rPr>
              <w:t>医用耗材精细化管理服务外包项目</w:t>
            </w:r>
          </w:p>
        </w:tc>
        <w:tc>
          <w:tcPr>
            <w:tcW w:w="237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spacing w:before="240" w:beforeLines="100" w:after="240" w:afterLines="100" w:line="360" w:lineRule="auto"/>
              <w:ind w:firstLine="420" w:firstLineChars="200"/>
              <w:jc w:val="center"/>
              <w:rPr>
                <w:rFonts w:hint="eastAsia" w:ascii="宋体" w:hAnsi="宋体" w:cs="Times New Roman"/>
                <w:kern w:val="0"/>
                <w:szCs w:val="21"/>
              </w:rPr>
            </w:pPr>
            <w:r>
              <w:rPr>
                <w:rFonts w:hint="eastAsia" w:ascii="宋体" w:hAnsi="宋体" w:cs="Times New Roman"/>
                <w:kern w:val="0"/>
                <w:szCs w:val="21"/>
              </w:rPr>
              <w:t>期限五年</w:t>
            </w:r>
          </w:p>
        </w:tc>
        <w:tc>
          <w:tcPr>
            <w:tcW w:w="3710" w:type="dxa"/>
            <w:tcBorders>
              <w:top w:val="single" w:color="auto" w:sz="4" w:space="0"/>
              <w:left w:val="single" w:color="auto" w:sz="4" w:space="0"/>
              <w:bottom w:val="single" w:color="auto" w:sz="4" w:space="0"/>
              <w:right w:val="single" w:color="auto" w:sz="4" w:space="0"/>
            </w:tcBorders>
            <w:noWrap w:val="0"/>
            <w:vAlign w:val="center"/>
          </w:tcPr>
          <w:p>
            <w:pPr>
              <w:widowControl/>
              <w:spacing w:before="240" w:beforeLines="100" w:after="240" w:afterLines="100" w:line="360" w:lineRule="auto"/>
              <w:jc w:val="both"/>
              <w:rPr>
                <w:rFonts w:hint="eastAsia" w:ascii="宋体" w:hAnsi="宋体" w:cs="Times New Roman"/>
                <w:kern w:val="0"/>
                <w:szCs w:val="21"/>
              </w:rPr>
            </w:pPr>
            <w:r>
              <w:rPr>
                <w:rFonts w:hint="eastAsia" w:ascii="宋体" w:hAnsi="宋体" w:cs="Times New Roman"/>
                <w:kern w:val="0"/>
                <w:szCs w:val="21"/>
              </w:rPr>
              <w:t>信息化管理服务平台发生业务关系的医用耗材供应商根据耗材月度结算金额乘以中标费率，按季度支付给中标人</w:t>
            </w:r>
          </w:p>
        </w:tc>
      </w:tr>
    </w:tbl>
    <w:p>
      <w:pPr>
        <w:pStyle w:val="3"/>
        <w:numPr>
          <w:ilvl w:val="0"/>
          <w:numId w:val="1"/>
        </w:numPr>
        <w:rPr>
          <w:rFonts w:hint="eastAsia" w:ascii="宋体" w:hAnsi="宋体" w:eastAsia="宋体"/>
          <w:bCs w:val="0"/>
          <w:sz w:val="21"/>
          <w:szCs w:val="21"/>
        </w:rPr>
      </w:pPr>
      <w:r>
        <w:rPr>
          <w:rFonts w:hint="eastAsia" w:ascii="宋体" w:hAnsi="宋体" w:eastAsia="宋体"/>
          <w:bCs w:val="0"/>
          <w:sz w:val="21"/>
          <w:szCs w:val="21"/>
          <w:lang w:eastAsia="zh-CN"/>
        </w:rPr>
        <w:t>项目</w:t>
      </w:r>
      <w:r>
        <w:rPr>
          <w:rFonts w:hint="eastAsia" w:ascii="宋体" w:hAnsi="宋体" w:eastAsia="宋体"/>
          <w:bCs w:val="0"/>
          <w:sz w:val="21"/>
          <w:szCs w:val="21"/>
        </w:rPr>
        <w:t>需求</w:t>
      </w:r>
    </w:p>
    <w:p>
      <w:pPr>
        <w:pStyle w:val="4"/>
        <w:rPr>
          <w:rFonts w:hint="eastAsia" w:ascii="宋体" w:hAnsi="宋体" w:eastAsia="宋体"/>
          <w:sz w:val="21"/>
          <w:szCs w:val="21"/>
        </w:rPr>
      </w:pPr>
      <w:r>
        <w:rPr>
          <w:rFonts w:hint="eastAsia" w:ascii="宋体" w:hAnsi="宋体" w:eastAsia="宋体"/>
          <w:sz w:val="21"/>
          <w:szCs w:val="21"/>
        </w:rPr>
        <w:t>1、基本要求：</w:t>
      </w:r>
    </w:p>
    <w:p>
      <w:pPr>
        <w:widowControl/>
        <w:spacing w:before="240" w:beforeLines="100" w:after="240" w:afterLines="100" w:line="360" w:lineRule="auto"/>
        <w:ind w:firstLine="420" w:firstLineChars="200"/>
        <w:rPr>
          <w:rFonts w:hint="eastAsia" w:ascii="宋体" w:hAnsi="宋体" w:eastAsia="宋体"/>
          <w:kern w:val="0"/>
          <w:szCs w:val="21"/>
          <w:lang w:eastAsia="zh-CN"/>
        </w:rPr>
      </w:pPr>
      <w:r>
        <w:rPr>
          <w:rFonts w:hint="eastAsia" w:ascii="宋体" w:hAnsi="宋体"/>
          <w:kern w:val="0"/>
          <w:szCs w:val="21"/>
        </w:rPr>
        <w:t>1.1 投标人要为丽水市中心医院构建一套新的医用耗材（包括高值、低值）智能化管理模式，有具体的管理办法、制度、标准流程，能够形成高效运营的管理体系</w:t>
      </w:r>
      <w:r>
        <w:rPr>
          <w:rFonts w:hint="eastAsia" w:ascii="宋体" w:hAnsi="宋体"/>
          <w:kern w:val="0"/>
          <w:szCs w:val="21"/>
          <w:lang w:eastAsia="zh-CN"/>
        </w:rPr>
        <w:t>。</w:t>
      </w:r>
    </w:p>
    <w:p>
      <w:pPr>
        <w:widowControl/>
        <w:spacing w:before="240" w:beforeLines="100" w:after="240" w:afterLines="100" w:line="360" w:lineRule="auto"/>
        <w:ind w:firstLine="420" w:firstLineChars="200"/>
        <w:rPr>
          <w:rFonts w:hint="eastAsia" w:ascii="宋体" w:hAnsi="宋体"/>
          <w:kern w:val="0"/>
          <w:szCs w:val="21"/>
          <w:lang w:val="en-US" w:eastAsia="zh-CN"/>
        </w:rPr>
      </w:pPr>
      <w:r>
        <w:rPr>
          <w:rFonts w:hint="eastAsia" w:ascii="宋体" w:hAnsi="宋体"/>
          <w:kern w:val="0"/>
          <w:szCs w:val="21"/>
        </w:rPr>
        <w:t>1.2 投标人要为医院搭建一套满足医院实际管理需求的医用耗材（包括高值、低值）智能化物流信息化管理平台，该平台符合HL7标准，能够与医院的HIS</w:t>
      </w:r>
      <w:r>
        <w:rPr>
          <w:rFonts w:hint="eastAsia" w:ascii="宋体" w:hAnsi="宋体"/>
          <w:kern w:val="0"/>
          <w:szCs w:val="21"/>
          <w:lang w:eastAsia="zh-CN"/>
        </w:rPr>
        <w:t>、</w:t>
      </w:r>
      <w:r>
        <w:rPr>
          <w:rFonts w:hint="eastAsia" w:ascii="宋体" w:hAnsi="宋体"/>
          <w:kern w:val="0"/>
          <w:szCs w:val="21"/>
          <w:lang w:val="en-US" w:eastAsia="zh-CN"/>
        </w:rPr>
        <w:t>HRP</w:t>
      </w:r>
      <w:r>
        <w:rPr>
          <w:rFonts w:hint="eastAsia" w:ascii="宋体" w:hAnsi="宋体"/>
          <w:kern w:val="0"/>
          <w:szCs w:val="21"/>
        </w:rPr>
        <w:t>等系统实现无缝连接</w:t>
      </w:r>
      <w:r>
        <w:rPr>
          <w:rFonts w:hint="eastAsia" w:ascii="宋体" w:hAnsi="宋体"/>
          <w:kern w:val="0"/>
          <w:szCs w:val="21"/>
          <w:lang w:eastAsia="zh-CN"/>
        </w:rPr>
        <w:t>。</w:t>
      </w:r>
      <w:r>
        <w:rPr>
          <w:rFonts w:hint="eastAsia" w:ascii="宋体" w:hAnsi="宋体"/>
          <w:kern w:val="0"/>
          <w:szCs w:val="21"/>
          <w:lang w:val="en-US" w:eastAsia="zh-CN"/>
        </w:rPr>
        <w:t xml:space="preserve">  </w:t>
      </w:r>
    </w:p>
    <w:p>
      <w:pPr>
        <w:widowControl/>
        <w:spacing w:before="240" w:beforeLines="100" w:after="240" w:afterLines="100" w:line="360" w:lineRule="auto"/>
        <w:ind w:firstLine="420" w:firstLineChars="200"/>
        <w:rPr>
          <w:rFonts w:hint="eastAsia" w:ascii="宋体" w:hAnsi="宋体" w:eastAsia="宋体"/>
          <w:kern w:val="0"/>
          <w:szCs w:val="21"/>
          <w:lang w:eastAsia="zh-CN"/>
        </w:rPr>
      </w:pPr>
      <w:r>
        <w:rPr>
          <w:rFonts w:hint="eastAsia" w:ascii="宋体" w:hAnsi="宋体"/>
          <w:kern w:val="0"/>
          <w:szCs w:val="21"/>
        </w:rPr>
        <w:t>1.3</w:t>
      </w:r>
      <w:r>
        <w:rPr>
          <w:rFonts w:hint="eastAsia" w:ascii="宋体" w:hAnsi="宋体"/>
          <w:kern w:val="0"/>
          <w:szCs w:val="21"/>
          <w:lang w:val="en-US" w:eastAsia="zh-CN"/>
        </w:rPr>
        <w:t xml:space="preserve"> </w:t>
      </w:r>
      <w:r>
        <w:rPr>
          <w:rFonts w:hint="eastAsia" w:ascii="宋体" w:hAnsi="宋体"/>
          <w:kern w:val="0"/>
          <w:szCs w:val="21"/>
        </w:rPr>
        <w:t>投标人要承担医院智能化一级库建设费用，并配置相应的信息及物流智能设施设备，使其能够满足智能化模式的有效运行（库房大小满足医院医用耗材存储需求，具备电脑、打印机、移动PDA等系统终端设备及配套定制类货架、库内拣货车、周转箱、下送箱等物流作业工具）</w:t>
      </w:r>
      <w:r>
        <w:rPr>
          <w:rFonts w:hint="eastAsia" w:ascii="宋体" w:hAnsi="宋体"/>
          <w:kern w:val="0"/>
          <w:szCs w:val="21"/>
          <w:lang w:eastAsia="zh-CN"/>
        </w:rPr>
        <w:t>。</w:t>
      </w:r>
    </w:p>
    <w:p>
      <w:pPr>
        <w:widowControl/>
        <w:spacing w:before="240" w:beforeLines="100" w:after="240" w:afterLines="100" w:line="360" w:lineRule="auto"/>
        <w:ind w:firstLine="420" w:firstLineChars="200"/>
        <w:rPr>
          <w:rFonts w:hint="eastAsia" w:ascii="宋体" w:hAnsi="宋体" w:eastAsia="宋体"/>
          <w:kern w:val="0"/>
          <w:szCs w:val="21"/>
          <w:lang w:eastAsia="zh-CN"/>
        </w:rPr>
      </w:pPr>
      <w:r>
        <w:rPr>
          <w:rFonts w:hint="eastAsia" w:ascii="宋体" w:hAnsi="宋体"/>
          <w:kern w:val="0"/>
          <w:szCs w:val="21"/>
        </w:rPr>
        <w:t>1.4 投标人要承担医院各二级消耗点（包括临床科室、手术室、</w:t>
      </w:r>
      <w:r>
        <w:rPr>
          <w:rFonts w:hint="eastAsia" w:ascii="宋体" w:hAnsi="宋体"/>
          <w:kern w:val="0"/>
          <w:szCs w:val="21"/>
          <w:lang w:val="en-US" w:eastAsia="zh-CN"/>
        </w:rPr>
        <w:t>介入手术</w:t>
      </w:r>
      <w:r>
        <w:rPr>
          <w:rFonts w:hint="eastAsia" w:ascii="宋体" w:hAnsi="宋体"/>
          <w:kern w:val="0"/>
          <w:szCs w:val="21"/>
        </w:rPr>
        <w:t>室、口腔科、胃镜室等共计约</w:t>
      </w:r>
      <w:r>
        <w:rPr>
          <w:rFonts w:hint="eastAsia" w:ascii="宋体" w:hAnsi="宋体"/>
          <w:kern w:val="0"/>
          <w:szCs w:val="21"/>
          <w:lang w:val="en-US" w:eastAsia="zh-CN"/>
        </w:rPr>
        <w:t>63</w:t>
      </w:r>
      <w:r>
        <w:rPr>
          <w:rFonts w:hint="eastAsia" w:ascii="宋体" w:hAnsi="宋体"/>
          <w:kern w:val="0"/>
          <w:szCs w:val="21"/>
        </w:rPr>
        <w:t>个站点）的建设费用，使其能够满足智能化模式的有效运行（二级库房内要具有电脑、移动PDA设备等）</w:t>
      </w:r>
      <w:r>
        <w:rPr>
          <w:rFonts w:hint="eastAsia" w:ascii="宋体" w:hAnsi="宋体"/>
          <w:kern w:val="0"/>
          <w:szCs w:val="21"/>
          <w:lang w:eastAsia="zh-CN"/>
        </w:rPr>
        <w:t>。</w:t>
      </w:r>
    </w:p>
    <w:p>
      <w:pPr>
        <w:widowControl/>
        <w:spacing w:before="240" w:beforeLines="100" w:after="240" w:afterLines="100" w:line="360" w:lineRule="auto"/>
        <w:ind w:firstLine="420" w:firstLineChars="200"/>
        <w:rPr>
          <w:rFonts w:hint="eastAsia" w:ascii="宋体" w:hAnsi="宋体"/>
          <w:kern w:val="0"/>
          <w:szCs w:val="21"/>
        </w:rPr>
      </w:pPr>
      <w:r>
        <w:rPr>
          <w:rFonts w:hint="eastAsia" w:ascii="宋体" w:hAnsi="宋体"/>
          <w:kern w:val="0"/>
          <w:szCs w:val="21"/>
        </w:rPr>
        <w:t>1.5</w:t>
      </w:r>
      <w:r>
        <w:rPr>
          <w:rFonts w:hint="eastAsia" w:ascii="宋体" w:hAnsi="宋体"/>
          <w:kern w:val="0"/>
          <w:szCs w:val="21"/>
          <w:lang w:val="en-US" w:eastAsia="zh-CN"/>
        </w:rPr>
        <w:t xml:space="preserve"> </w:t>
      </w:r>
      <w:r>
        <w:rPr>
          <w:rFonts w:hint="eastAsia" w:ascii="宋体" w:hAnsi="宋体"/>
          <w:kern w:val="0"/>
          <w:szCs w:val="21"/>
        </w:rPr>
        <w:t>投标人要为医院物流管理提供服务，保障医院医用耗材采购供给和院内配送。</w:t>
      </w:r>
    </w:p>
    <w:p>
      <w:pPr>
        <w:pStyle w:val="4"/>
        <w:rPr>
          <w:rFonts w:hint="eastAsia" w:ascii="宋体" w:hAnsi="宋体" w:eastAsia="宋体"/>
          <w:sz w:val="21"/>
          <w:szCs w:val="21"/>
        </w:rPr>
      </w:pPr>
      <w:bookmarkStart w:id="0" w:name="_Toc16424"/>
      <w:bookmarkStart w:id="1" w:name="_Toc507767370"/>
      <w:r>
        <w:rPr>
          <w:rFonts w:hint="eastAsia" w:ascii="宋体" w:hAnsi="宋体" w:eastAsia="宋体"/>
          <w:sz w:val="21"/>
          <w:szCs w:val="21"/>
        </w:rPr>
        <w:t>2、建设目标：</w:t>
      </w:r>
      <w:bookmarkEnd w:id="0"/>
      <w:bookmarkEnd w:id="1"/>
    </w:p>
    <w:p>
      <w:pPr>
        <w:widowControl/>
        <w:spacing w:before="240" w:beforeLines="100" w:after="240" w:afterLines="100" w:line="360" w:lineRule="auto"/>
        <w:ind w:firstLine="420" w:firstLineChars="200"/>
        <w:rPr>
          <w:rFonts w:hint="eastAsia" w:ascii="宋体" w:hAnsi="宋体"/>
          <w:kern w:val="0"/>
          <w:szCs w:val="21"/>
        </w:rPr>
      </w:pPr>
      <w:r>
        <w:rPr>
          <w:rFonts w:hint="eastAsia" w:ascii="宋体" w:hAnsi="宋体"/>
          <w:kern w:val="0"/>
          <w:szCs w:val="21"/>
        </w:rPr>
        <w:t>保证院内医用耗材质量安全，保障科室消耗供给及时安全，提升院内物流管理形象和服务水平，与国际领先的医疗供应链SPD管理模式接轨，外部实现协同商务，院内物流实现专业化分工，实现各方互利共赢，患者利益最大化，社会效益提升。为医改零差价政策下实现去医院物流管理成本，以及践行医改降低耗占比，提供一个优秀的、可落地的医用耗材管理新模式。</w:t>
      </w:r>
      <w:bookmarkStart w:id="2" w:name="_Toc15096"/>
      <w:bookmarkStart w:id="3" w:name="_Toc507767371"/>
    </w:p>
    <w:p>
      <w:pPr>
        <w:pStyle w:val="4"/>
        <w:rPr>
          <w:rFonts w:hint="eastAsia" w:ascii="宋体" w:hAnsi="宋体" w:eastAsia="宋体"/>
          <w:sz w:val="21"/>
          <w:szCs w:val="21"/>
        </w:rPr>
      </w:pPr>
      <w:r>
        <w:rPr>
          <w:rFonts w:hint="eastAsia" w:ascii="宋体" w:hAnsi="宋体" w:eastAsia="宋体"/>
          <w:sz w:val="21"/>
          <w:szCs w:val="21"/>
        </w:rPr>
        <w:t>3、建设效果：</w:t>
      </w:r>
      <w:bookmarkEnd w:id="2"/>
      <w:bookmarkEnd w:id="3"/>
    </w:p>
    <w:p>
      <w:pPr>
        <w:spacing w:before="240" w:beforeLines="100" w:after="240" w:afterLines="100" w:line="360" w:lineRule="auto"/>
        <w:ind w:firstLine="420" w:firstLineChars="200"/>
        <w:rPr>
          <w:rFonts w:hint="eastAsia" w:ascii="宋体" w:hAnsi="宋体" w:cs="仿宋_GB2312"/>
          <w:kern w:val="0"/>
          <w:szCs w:val="21"/>
        </w:rPr>
      </w:pPr>
      <w:r>
        <w:rPr>
          <w:rFonts w:hint="eastAsia" w:ascii="宋体" w:hAnsi="宋体" w:cs="仿宋_GB2312"/>
          <w:kern w:val="0"/>
          <w:szCs w:val="21"/>
        </w:rPr>
        <w:t>3.1 建立覆盖供应商、临床使用科室、物资管理部门及相关的财务、医保、物价部门之间一一体化的供应链管理平台，实现物资从科室提出需求到采购、入库、配送出库、使用消耗的全过程管理；</w:t>
      </w:r>
    </w:p>
    <w:p>
      <w:pPr>
        <w:spacing w:before="240" w:beforeLines="100" w:after="240" w:afterLines="100" w:line="360" w:lineRule="auto"/>
        <w:ind w:firstLine="420" w:firstLineChars="200"/>
        <w:rPr>
          <w:rFonts w:hint="eastAsia" w:ascii="宋体" w:hAnsi="宋体" w:cs="仿宋_GB2312"/>
          <w:kern w:val="0"/>
          <w:szCs w:val="21"/>
        </w:rPr>
      </w:pPr>
      <w:r>
        <w:rPr>
          <w:rFonts w:hint="eastAsia" w:ascii="宋体" w:hAnsi="宋体" w:cs="仿宋_GB2312"/>
          <w:kern w:val="0"/>
          <w:szCs w:val="21"/>
        </w:rPr>
        <w:t>3.2 实现院内重要物资的数量或成本管控管理，实现可收费材料的流程管理与不可收费材料的成本控制，实现可收费材料的流程化管理及领用消耗的关联、对不可收费材料提供科室管理及经费使用控制等手段，从科室领用申请源头即对不可收费材料进行成本的事前控制。对管控物资进行大数据分析，智能商业报表展现，红线预警，短信提前通知相关部门的重点管控物资的使用情况。</w:t>
      </w:r>
    </w:p>
    <w:p>
      <w:pPr>
        <w:spacing w:before="240" w:beforeLines="100" w:after="240" w:afterLines="100" w:line="360" w:lineRule="auto"/>
        <w:ind w:firstLine="420" w:firstLineChars="200"/>
        <w:rPr>
          <w:rFonts w:hint="eastAsia" w:ascii="宋体" w:hAnsi="宋体" w:cs="仿宋_GB2312"/>
          <w:kern w:val="0"/>
          <w:szCs w:val="21"/>
        </w:rPr>
      </w:pPr>
      <w:r>
        <w:rPr>
          <w:rFonts w:hint="eastAsia" w:ascii="宋体" w:hAnsi="宋体" w:cs="仿宋_GB2312"/>
          <w:kern w:val="0"/>
          <w:szCs w:val="21"/>
        </w:rPr>
        <w:t>3.3 以服务临床一线为出发点对传统业务流程进行优化，实现对二级消耗点主动推送服务模式，保障二级消耗点供给安全，减轻临床医护人员科室库库存管理负担，解放临床医护人员回归临床；</w:t>
      </w:r>
    </w:p>
    <w:p>
      <w:pPr>
        <w:spacing w:before="240" w:beforeLines="100" w:after="240" w:afterLines="100" w:line="360" w:lineRule="auto"/>
        <w:ind w:firstLine="420" w:firstLineChars="200"/>
        <w:rPr>
          <w:rFonts w:hint="eastAsia" w:ascii="宋体" w:hAnsi="宋体" w:cs="仿宋_GB2312"/>
          <w:kern w:val="0"/>
          <w:szCs w:val="21"/>
        </w:rPr>
      </w:pPr>
      <w:r>
        <w:rPr>
          <w:rFonts w:hint="eastAsia" w:ascii="宋体" w:hAnsi="宋体" w:cs="仿宋_GB2312"/>
          <w:kern w:val="0"/>
          <w:szCs w:val="21"/>
        </w:rPr>
        <w:t>3.4 实现医用物资在院内全程追溯管理，实现</w:t>
      </w:r>
      <w:r>
        <w:rPr>
          <w:rFonts w:hint="eastAsia" w:ascii="宋体" w:hAnsi="宋体" w:cs="宋体"/>
          <w:szCs w:val="21"/>
        </w:rPr>
        <w:t>低值耗材根据诊疗项目打包管理、</w:t>
      </w:r>
      <w:r>
        <w:rPr>
          <w:rFonts w:hint="eastAsia" w:ascii="宋体" w:hAnsi="宋体" w:cs="仿宋_GB2312"/>
          <w:kern w:val="0"/>
          <w:szCs w:val="21"/>
        </w:rPr>
        <w:t>高值耗材“一物一码”管理，实现高值耗材从采购计划发出、供应商送货、院方验收、领用使用、收费、结算等各个环节全程管理，监控高值耗材的使用信息与病人的收费信息，保障医疗安全；</w:t>
      </w:r>
    </w:p>
    <w:p>
      <w:pPr>
        <w:spacing w:before="240" w:beforeLines="100" w:after="240" w:afterLines="100" w:line="360" w:lineRule="auto"/>
        <w:ind w:firstLine="420" w:firstLineChars="200"/>
        <w:rPr>
          <w:rFonts w:hint="eastAsia" w:ascii="宋体" w:hAnsi="宋体" w:cs="仿宋_GB2312"/>
          <w:kern w:val="0"/>
          <w:szCs w:val="21"/>
        </w:rPr>
      </w:pPr>
      <w:r>
        <w:rPr>
          <w:rFonts w:hint="eastAsia" w:ascii="宋体" w:hAnsi="宋体" w:cs="仿宋_GB2312"/>
          <w:kern w:val="0"/>
          <w:szCs w:val="21"/>
        </w:rPr>
        <w:t>3.5 实现高值耗材智能化管理，通过智能柜等设备的应用，实现科室库存物资在无人值守下的存取管理，打造高值耗材无人值守的管理模式，节约人力并提高整体应用层次；</w:t>
      </w:r>
    </w:p>
    <w:p>
      <w:pPr>
        <w:spacing w:before="240" w:beforeLines="100" w:after="240" w:afterLines="100" w:line="360" w:lineRule="auto"/>
        <w:ind w:firstLine="420" w:firstLineChars="200"/>
        <w:rPr>
          <w:rFonts w:hint="eastAsia" w:ascii="宋体" w:hAnsi="宋体" w:cs="仿宋_GB2312"/>
          <w:kern w:val="0"/>
          <w:szCs w:val="21"/>
        </w:rPr>
      </w:pPr>
      <w:r>
        <w:rPr>
          <w:rFonts w:hint="eastAsia" w:ascii="宋体" w:hAnsi="宋体" w:cs="仿宋_GB2312"/>
          <w:kern w:val="0"/>
          <w:szCs w:val="21"/>
        </w:rPr>
        <w:t>3.6 突破医院对骨科、介入科等高值耗材的管理难点，实现定制类耗材的线上化管理和常规物资的预计划管理。支持按病人需求采购的模式，手术申请时确定病人，后续需求审核、供应商准备、消毒、手术室支持中心库验收、使用均关联病人，当前病人申请的材料不能应用于其他病人，规范管理并提高手术安全性；</w:t>
      </w:r>
    </w:p>
    <w:p>
      <w:pPr>
        <w:spacing w:before="240" w:beforeLines="100" w:after="240" w:afterLines="100" w:line="360" w:lineRule="auto"/>
        <w:ind w:firstLine="420" w:firstLineChars="200"/>
        <w:rPr>
          <w:rFonts w:hint="eastAsia" w:ascii="宋体" w:hAnsi="宋体" w:cs="仿宋_GB2312"/>
          <w:kern w:val="0"/>
          <w:szCs w:val="21"/>
        </w:rPr>
      </w:pPr>
      <w:r>
        <w:rPr>
          <w:rFonts w:hint="eastAsia" w:ascii="宋体" w:hAnsi="宋体" w:cs="仿宋_GB2312"/>
          <w:kern w:val="0"/>
          <w:szCs w:val="21"/>
        </w:rPr>
        <w:t>3.7 实现物资采购过程的全面电子化管理，给供应商搭建院外供采平台系统，与供应商之间建立内外网互通的平台，对院内物、款、票等线上化管理，减少订单的差错率，对整个订单流程可追溯，简化工作流程，提高工作效率；</w:t>
      </w:r>
    </w:p>
    <w:p>
      <w:pPr>
        <w:spacing w:before="240" w:beforeLines="100" w:after="240" w:afterLines="100" w:line="360" w:lineRule="auto"/>
        <w:ind w:firstLine="420" w:firstLineChars="200"/>
        <w:rPr>
          <w:rFonts w:hint="eastAsia" w:ascii="宋体" w:hAnsi="宋体" w:cs="仿宋_GB2312"/>
          <w:kern w:val="0"/>
          <w:szCs w:val="21"/>
        </w:rPr>
      </w:pPr>
      <w:r>
        <w:rPr>
          <w:rFonts w:hint="eastAsia" w:ascii="宋体" w:hAnsi="宋体" w:cs="仿宋_GB2312"/>
          <w:kern w:val="0"/>
          <w:szCs w:val="21"/>
        </w:rPr>
        <w:t>3.8支持物资零资金库存管理、消耗后结算、单品种按科室及用量控制等管理，减少医院库存资金积压；通过定数补货机制实现耗材的合理备货，保障临床使用；</w:t>
      </w:r>
    </w:p>
    <w:p>
      <w:pPr>
        <w:spacing w:before="240" w:beforeLines="100" w:after="240" w:afterLines="100" w:line="360" w:lineRule="auto"/>
        <w:ind w:firstLine="420" w:firstLineChars="200"/>
        <w:rPr>
          <w:rFonts w:ascii="宋体" w:hAnsi="宋体" w:cs="仿宋_GB2312"/>
          <w:kern w:val="0"/>
          <w:szCs w:val="21"/>
        </w:rPr>
      </w:pPr>
      <w:r>
        <w:rPr>
          <w:rFonts w:hint="eastAsia" w:ascii="宋体" w:hAnsi="宋体" w:cs="仿宋_GB2312"/>
          <w:kern w:val="0"/>
          <w:szCs w:val="21"/>
        </w:rPr>
        <w:t>3.9 第三方专业物流人员派驻、剔除医院医用耗材物流管理的人工成本；</w:t>
      </w:r>
    </w:p>
    <w:p>
      <w:pPr>
        <w:spacing w:before="240" w:beforeLines="100" w:after="240" w:afterLines="100" w:line="360" w:lineRule="auto"/>
        <w:ind w:firstLine="420" w:firstLineChars="200"/>
        <w:rPr>
          <w:rFonts w:ascii="宋体" w:hAnsi="宋体" w:cs="仿宋_GB2312"/>
          <w:kern w:val="0"/>
          <w:szCs w:val="21"/>
        </w:rPr>
      </w:pPr>
      <w:r>
        <w:rPr>
          <w:rFonts w:hint="eastAsia" w:ascii="宋体" w:hAnsi="宋体" w:cs="仿宋_GB2312"/>
          <w:kern w:val="0"/>
          <w:szCs w:val="21"/>
        </w:rPr>
        <w:t>3.10定数包管理、手术套包管理等新的管理模式能极大降低或杜绝科室医用物资的浪费；</w:t>
      </w:r>
    </w:p>
    <w:p>
      <w:pPr>
        <w:spacing w:before="240" w:beforeLines="100" w:after="240" w:afterLines="100" w:line="360" w:lineRule="auto"/>
        <w:ind w:firstLine="420" w:firstLineChars="200"/>
        <w:rPr>
          <w:rFonts w:ascii="宋体" w:hAnsi="宋体" w:cs="仿宋_GB2312"/>
          <w:kern w:val="0"/>
          <w:szCs w:val="21"/>
        </w:rPr>
      </w:pPr>
      <w:r>
        <w:rPr>
          <w:rFonts w:hint="eastAsia" w:ascii="宋体" w:hAnsi="宋体" w:cs="仿宋_GB2312"/>
          <w:kern w:val="0"/>
          <w:szCs w:val="21"/>
        </w:rPr>
        <w:t>3.11实现寄售制消耗后结算管理模式即按月统一开票，减轻院方和供应商财务的工作负担；</w:t>
      </w:r>
    </w:p>
    <w:p>
      <w:pPr>
        <w:spacing w:before="240" w:beforeLines="100" w:after="240" w:afterLines="100" w:line="360" w:lineRule="auto"/>
        <w:ind w:firstLine="420" w:firstLineChars="200"/>
        <w:rPr>
          <w:rFonts w:ascii="宋体" w:hAnsi="宋体" w:cs="仿宋_GB2312"/>
          <w:kern w:val="0"/>
          <w:szCs w:val="21"/>
        </w:rPr>
      </w:pPr>
      <w:r>
        <w:rPr>
          <w:rFonts w:hint="eastAsia" w:ascii="宋体" w:hAnsi="宋体" w:cs="仿宋_GB2312"/>
          <w:kern w:val="0"/>
          <w:szCs w:val="21"/>
        </w:rPr>
        <w:t>3.12 实现批号效期管理，近效期先出，杜绝浪费；</w:t>
      </w:r>
    </w:p>
    <w:p>
      <w:pPr>
        <w:spacing w:before="240" w:beforeLines="100" w:after="240" w:afterLines="100" w:line="360" w:lineRule="auto"/>
        <w:ind w:firstLine="420" w:firstLineChars="200"/>
        <w:rPr>
          <w:rFonts w:hint="eastAsia" w:ascii="宋体" w:hAnsi="宋体" w:cs="仿宋_GB2312"/>
          <w:kern w:val="0"/>
          <w:szCs w:val="21"/>
        </w:rPr>
      </w:pPr>
      <w:r>
        <w:rPr>
          <w:rFonts w:hint="eastAsia" w:ascii="宋体" w:hAnsi="宋体" w:cs="仿宋_GB2312"/>
          <w:kern w:val="0"/>
          <w:szCs w:val="21"/>
        </w:rPr>
        <w:t>3.13 实现资质证照全面电子化管理，对供应商、代理商、厂家、产品、授权书等相关资质证件进行线上化管理，证件到期提前预警，及时短信反馈；</w:t>
      </w:r>
    </w:p>
    <w:p>
      <w:pPr>
        <w:widowControl/>
        <w:spacing w:before="240" w:beforeLines="100" w:after="240" w:afterLines="100" w:line="360" w:lineRule="auto"/>
        <w:ind w:firstLine="420" w:firstLineChars="200"/>
        <w:rPr>
          <w:rFonts w:hint="eastAsia" w:ascii="宋体" w:hAnsi="宋体" w:cs="仿宋_GB2312"/>
          <w:kern w:val="0"/>
          <w:szCs w:val="21"/>
        </w:rPr>
      </w:pPr>
      <w:r>
        <w:rPr>
          <w:rFonts w:hint="eastAsia" w:ascii="宋体" w:hAnsi="宋体" w:cs="仿宋_GB2312"/>
          <w:kern w:val="0"/>
          <w:szCs w:val="21"/>
        </w:rPr>
        <w:t xml:space="preserve">3.14 </w:t>
      </w:r>
      <w:r>
        <w:rPr>
          <w:rFonts w:hint="eastAsia" w:ascii="宋体" w:hAnsi="宋体" w:cs="仿宋_GB2312"/>
          <w:b/>
          <w:kern w:val="0"/>
          <w:szCs w:val="21"/>
        </w:rPr>
        <w:t>BI商业报表</w:t>
      </w:r>
      <w:r>
        <w:rPr>
          <w:rFonts w:hint="eastAsia" w:ascii="宋体" w:hAnsi="宋体" w:cs="仿宋_GB2312"/>
          <w:kern w:val="0"/>
          <w:szCs w:val="21"/>
        </w:rPr>
        <w:t>：</w:t>
      </w:r>
      <w:r>
        <w:rPr>
          <w:rFonts w:hint="eastAsia" w:ascii="宋体" w:hAnsi="宋体" w:cs="微软雅黑"/>
          <w:color w:val="333333"/>
          <w:szCs w:val="21"/>
          <w:shd w:val="clear" w:color="auto" w:fill="FFFFFF"/>
        </w:rPr>
        <w:t>实现数据分析应用的长效机制，全面掌控医院运营中的每一个细节。</w:t>
      </w:r>
      <w:r>
        <w:rPr>
          <w:rFonts w:hint="eastAsia" w:ascii="宋体" w:hAnsi="宋体" w:cs="仿宋_GB2312"/>
          <w:kern w:val="0"/>
          <w:szCs w:val="21"/>
        </w:rPr>
        <w:t>通过丰富多样、直观清晰的统计图快速掌握全院各项经营指标，为院领导提供及时正确的决策依据，也有利于提高监控管理的执行效率。通过多角度多种指标的图表分析，对科室工作量、效率和质量不同层面的剖析，以便及时调整管理方式，促进全科经营高效发展，掌握自身工作效率和工作质量，有效进行工作改善.</w:t>
      </w:r>
    </w:p>
    <w:p>
      <w:pPr>
        <w:spacing w:before="240" w:beforeLines="100" w:after="240" w:afterLines="100" w:line="360" w:lineRule="auto"/>
        <w:ind w:firstLine="420" w:firstLineChars="200"/>
        <w:rPr>
          <w:rFonts w:hint="eastAsia" w:ascii="宋体" w:hAnsi="宋体" w:cs="仿宋_GB2312"/>
          <w:kern w:val="0"/>
          <w:szCs w:val="21"/>
        </w:rPr>
      </w:pPr>
      <w:r>
        <w:rPr>
          <w:rFonts w:hint="eastAsia" w:ascii="宋体" w:hAnsi="宋体" w:cs="仿宋_GB2312"/>
          <w:kern w:val="0"/>
          <w:szCs w:val="21"/>
        </w:rPr>
        <w:t>3.15 移动办公：利用手机的移动信息化软件，建立手机与电脑互联互通的软件应用系统。</w:t>
      </w:r>
    </w:p>
    <w:p>
      <w:pPr>
        <w:pStyle w:val="4"/>
        <w:rPr>
          <w:rFonts w:hint="eastAsia" w:ascii="宋体" w:hAnsi="宋体" w:eastAsia="宋体"/>
          <w:sz w:val="21"/>
          <w:szCs w:val="21"/>
        </w:rPr>
      </w:pPr>
      <w:bookmarkStart w:id="4" w:name="_Toc507767372"/>
      <w:bookmarkStart w:id="5" w:name="_Toc15203"/>
      <w:r>
        <w:rPr>
          <w:rFonts w:hint="eastAsia" w:ascii="宋体" w:hAnsi="宋体" w:eastAsia="宋体"/>
          <w:sz w:val="21"/>
          <w:szCs w:val="21"/>
        </w:rPr>
        <w:t>4、建设内容：</w:t>
      </w:r>
      <w:bookmarkEnd w:id="4"/>
      <w:bookmarkEnd w:id="5"/>
    </w:p>
    <w:p>
      <w:pPr>
        <w:spacing w:before="240" w:beforeLines="100" w:after="240" w:afterLines="100" w:line="360" w:lineRule="auto"/>
        <w:ind w:firstLine="420" w:firstLineChars="200"/>
        <w:rPr>
          <w:rFonts w:hint="eastAsia" w:ascii="宋体" w:hAnsi="宋体" w:cs="仿宋_GB2312"/>
          <w:kern w:val="0"/>
          <w:szCs w:val="21"/>
        </w:rPr>
      </w:pPr>
      <w:r>
        <w:rPr>
          <w:rFonts w:hint="eastAsia" w:ascii="宋体" w:hAnsi="宋体" w:cs="仿宋_GB2312"/>
          <w:kern w:val="0"/>
          <w:szCs w:val="21"/>
        </w:rPr>
        <w:t>4.1 建设对象：丽水市中心医院医用耗材管理，包括：低值、高值耗材</w:t>
      </w:r>
    </w:p>
    <w:p>
      <w:pPr>
        <w:spacing w:before="240" w:beforeLines="100" w:after="240" w:afterLines="100" w:line="360" w:lineRule="auto"/>
        <w:ind w:firstLine="420" w:firstLineChars="200"/>
        <w:rPr>
          <w:rFonts w:hint="eastAsia" w:ascii="宋体" w:hAnsi="宋体" w:cs="仿宋_GB2312"/>
          <w:kern w:val="0"/>
          <w:szCs w:val="21"/>
        </w:rPr>
      </w:pPr>
      <w:r>
        <w:rPr>
          <w:rFonts w:hint="eastAsia" w:ascii="宋体" w:hAnsi="宋体" w:cs="仿宋_GB2312"/>
          <w:kern w:val="0"/>
          <w:szCs w:val="21"/>
        </w:rPr>
        <w:t>4.2 建设区域包括：</w:t>
      </w:r>
    </w:p>
    <w:tbl>
      <w:tblPr>
        <w:tblStyle w:val="9"/>
        <w:tblW w:w="893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6"/>
        <w:gridCol w:w="3863"/>
        <w:gridCol w:w="823"/>
        <w:gridCol w:w="33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trPr>
        <w:tc>
          <w:tcPr>
            <w:tcW w:w="856" w:type="dxa"/>
            <w:noWrap w:val="0"/>
            <w:vAlign w:val="top"/>
          </w:tcPr>
          <w:p>
            <w:pPr>
              <w:autoSpaceDE w:val="0"/>
              <w:autoSpaceDN w:val="0"/>
              <w:adjustRightInd w:val="0"/>
              <w:spacing w:line="360" w:lineRule="auto"/>
              <w:jc w:val="center"/>
              <w:rPr>
                <w:rFonts w:ascii="宋体" w:hAnsi="宋体" w:cs="宋体"/>
                <w:color w:val="000000"/>
                <w:kern w:val="0"/>
                <w:szCs w:val="21"/>
              </w:rPr>
            </w:pPr>
            <w:r>
              <w:rPr>
                <w:rFonts w:hint="eastAsia" w:ascii="宋体" w:hAnsi="宋体" w:cs="宋体"/>
                <w:color w:val="000000"/>
                <w:kern w:val="0"/>
                <w:szCs w:val="21"/>
              </w:rPr>
              <w:t>序号</w:t>
            </w:r>
          </w:p>
        </w:tc>
        <w:tc>
          <w:tcPr>
            <w:tcW w:w="3863" w:type="dxa"/>
            <w:noWrap w:val="0"/>
            <w:vAlign w:val="top"/>
          </w:tcPr>
          <w:p>
            <w:pPr>
              <w:autoSpaceDE w:val="0"/>
              <w:autoSpaceDN w:val="0"/>
              <w:adjustRightInd w:val="0"/>
              <w:spacing w:line="360" w:lineRule="auto"/>
              <w:jc w:val="center"/>
              <w:rPr>
                <w:rFonts w:ascii="宋体" w:hAnsi="宋体" w:cs="宋体"/>
                <w:color w:val="000000"/>
                <w:kern w:val="0"/>
                <w:szCs w:val="21"/>
              </w:rPr>
            </w:pPr>
            <w:r>
              <w:rPr>
                <w:rFonts w:hint="eastAsia" w:ascii="宋体" w:hAnsi="宋体" w:cs="宋体"/>
                <w:color w:val="000000"/>
                <w:kern w:val="0"/>
                <w:szCs w:val="21"/>
              </w:rPr>
              <w:t>名称</w:t>
            </w:r>
          </w:p>
        </w:tc>
        <w:tc>
          <w:tcPr>
            <w:tcW w:w="823" w:type="dxa"/>
            <w:noWrap w:val="0"/>
            <w:vAlign w:val="top"/>
          </w:tcPr>
          <w:p>
            <w:pPr>
              <w:autoSpaceDE w:val="0"/>
              <w:autoSpaceDN w:val="0"/>
              <w:adjustRightInd w:val="0"/>
              <w:spacing w:line="360" w:lineRule="auto"/>
              <w:jc w:val="center"/>
              <w:rPr>
                <w:rFonts w:ascii="宋体" w:hAnsi="宋体" w:cs="宋体"/>
                <w:color w:val="000000"/>
                <w:kern w:val="0"/>
                <w:szCs w:val="21"/>
              </w:rPr>
            </w:pPr>
            <w:r>
              <w:rPr>
                <w:rFonts w:hint="eastAsia" w:ascii="宋体" w:hAnsi="宋体" w:cs="宋体"/>
                <w:color w:val="000000"/>
                <w:kern w:val="0"/>
                <w:szCs w:val="21"/>
              </w:rPr>
              <w:t>数量</w:t>
            </w:r>
          </w:p>
        </w:tc>
        <w:tc>
          <w:tcPr>
            <w:tcW w:w="3389" w:type="dxa"/>
            <w:noWrap w:val="0"/>
            <w:vAlign w:val="top"/>
          </w:tcPr>
          <w:p>
            <w:pPr>
              <w:autoSpaceDE w:val="0"/>
              <w:autoSpaceDN w:val="0"/>
              <w:adjustRightInd w:val="0"/>
              <w:spacing w:line="360" w:lineRule="auto"/>
              <w:jc w:val="center"/>
              <w:rPr>
                <w:rFonts w:ascii="宋体" w:hAnsi="宋体" w:cs="宋体"/>
                <w:color w:val="000000"/>
                <w:kern w:val="0"/>
                <w:szCs w:val="21"/>
              </w:rPr>
            </w:pPr>
            <w:r>
              <w:rPr>
                <w:rFonts w:hint="eastAsia" w:ascii="宋体" w:hAnsi="宋体" w:cs="宋体"/>
                <w:color w:val="000000"/>
                <w:kern w:val="0"/>
                <w:szCs w:val="21"/>
              </w:rPr>
              <w:t>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trPr>
        <w:tc>
          <w:tcPr>
            <w:tcW w:w="856" w:type="dxa"/>
            <w:noWrap w:val="0"/>
            <w:vAlign w:val="top"/>
          </w:tcPr>
          <w:p>
            <w:pPr>
              <w:autoSpaceDE w:val="0"/>
              <w:autoSpaceDN w:val="0"/>
              <w:adjustRightInd w:val="0"/>
              <w:spacing w:line="360" w:lineRule="auto"/>
              <w:jc w:val="center"/>
              <w:rPr>
                <w:rFonts w:ascii="宋体" w:hAnsi="宋体" w:cs="宋体"/>
                <w:color w:val="000000"/>
                <w:kern w:val="0"/>
                <w:szCs w:val="21"/>
              </w:rPr>
            </w:pPr>
            <w:r>
              <w:rPr>
                <w:rFonts w:hint="eastAsia" w:ascii="宋体" w:hAnsi="宋体" w:cs="宋体"/>
                <w:color w:val="000000"/>
                <w:kern w:val="0"/>
                <w:szCs w:val="21"/>
              </w:rPr>
              <w:t>1</w:t>
            </w:r>
          </w:p>
        </w:tc>
        <w:tc>
          <w:tcPr>
            <w:tcW w:w="3863" w:type="dxa"/>
            <w:noWrap w:val="0"/>
            <w:vAlign w:val="top"/>
          </w:tcPr>
          <w:p>
            <w:pPr>
              <w:autoSpaceDE w:val="0"/>
              <w:autoSpaceDN w:val="0"/>
              <w:adjustRightInd w:val="0"/>
              <w:spacing w:line="360" w:lineRule="auto"/>
              <w:jc w:val="center"/>
              <w:rPr>
                <w:rFonts w:hint="eastAsia" w:ascii="宋体" w:hAnsi="宋体" w:cs="宋体"/>
                <w:color w:val="000000"/>
                <w:kern w:val="0"/>
                <w:szCs w:val="21"/>
              </w:rPr>
            </w:pPr>
            <w:r>
              <w:rPr>
                <w:rFonts w:hint="eastAsia" w:ascii="宋体" w:hAnsi="宋体" w:cs="宋体"/>
                <w:color w:val="000000"/>
                <w:kern w:val="0"/>
                <w:szCs w:val="21"/>
              </w:rPr>
              <w:t>医疗器械仓库</w:t>
            </w:r>
          </w:p>
        </w:tc>
        <w:tc>
          <w:tcPr>
            <w:tcW w:w="823" w:type="dxa"/>
            <w:noWrap w:val="0"/>
            <w:vAlign w:val="top"/>
          </w:tcPr>
          <w:p>
            <w:pPr>
              <w:autoSpaceDE w:val="0"/>
              <w:autoSpaceDN w:val="0"/>
              <w:adjustRightInd w:val="0"/>
              <w:spacing w:line="360" w:lineRule="auto"/>
              <w:jc w:val="center"/>
              <w:rPr>
                <w:rFonts w:hint="eastAsia" w:ascii="宋体" w:hAnsi="宋体" w:cs="宋体"/>
                <w:color w:val="000000"/>
                <w:kern w:val="0"/>
                <w:szCs w:val="21"/>
              </w:rPr>
            </w:pPr>
            <w:r>
              <w:rPr>
                <w:rFonts w:hint="eastAsia" w:ascii="宋体" w:hAnsi="宋体" w:cs="宋体"/>
                <w:color w:val="000000"/>
                <w:kern w:val="0"/>
                <w:szCs w:val="21"/>
              </w:rPr>
              <w:t>1</w:t>
            </w:r>
          </w:p>
        </w:tc>
        <w:tc>
          <w:tcPr>
            <w:tcW w:w="3389" w:type="dxa"/>
            <w:noWrap w:val="0"/>
            <w:vAlign w:val="top"/>
          </w:tcPr>
          <w:p>
            <w:pPr>
              <w:autoSpaceDE w:val="0"/>
              <w:autoSpaceDN w:val="0"/>
              <w:adjustRightInd w:val="0"/>
              <w:spacing w:line="360" w:lineRule="auto"/>
              <w:jc w:val="center"/>
              <w:rPr>
                <w:rFonts w:ascii="宋体" w:hAns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trPr>
        <w:tc>
          <w:tcPr>
            <w:tcW w:w="856" w:type="dxa"/>
            <w:noWrap w:val="0"/>
            <w:vAlign w:val="top"/>
          </w:tcPr>
          <w:p>
            <w:pPr>
              <w:autoSpaceDE w:val="0"/>
              <w:autoSpaceDN w:val="0"/>
              <w:adjustRightInd w:val="0"/>
              <w:spacing w:line="360" w:lineRule="auto"/>
              <w:jc w:val="center"/>
              <w:rPr>
                <w:rFonts w:ascii="宋体" w:hAnsi="宋体" w:cs="宋体"/>
                <w:color w:val="000000"/>
                <w:kern w:val="0"/>
                <w:szCs w:val="21"/>
              </w:rPr>
            </w:pPr>
            <w:r>
              <w:rPr>
                <w:rFonts w:hint="eastAsia" w:ascii="宋体" w:hAnsi="宋体" w:cs="宋体"/>
                <w:color w:val="000000"/>
                <w:kern w:val="0"/>
                <w:szCs w:val="21"/>
              </w:rPr>
              <w:t>2</w:t>
            </w:r>
          </w:p>
        </w:tc>
        <w:tc>
          <w:tcPr>
            <w:tcW w:w="3863" w:type="dxa"/>
            <w:noWrap w:val="0"/>
            <w:vAlign w:val="top"/>
          </w:tcPr>
          <w:p>
            <w:pPr>
              <w:autoSpaceDE w:val="0"/>
              <w:autoSpaceDN w:val="0"/>
              <w:adjustRightInd w:val="0"/>
              <w:spacing w:line="360" w:lineRule="auto"/>
              <w:jc w:val="center"/>
              <w:rPr>
                <w:rFonts w:hint="eastAsia" w:ascii="宋体" w:hAnsi="宋体" w:cs="宋体"/>
                <w:color w:val="000000"/>
                <w:kern w:val="0"/>
                <w:szCs w:val="21"/>
              </w:rPr>
            </w:pPr>
            <w:r>
              <w:rPr>
                <w:rFonts w:hint="eastAsia" w:ascii="宋体" w:hAnsi="宋体" w:cs="宋体"/>
                <w:color w:val="000000"/>
                <w:kern w:val="0"/>
                <w:szCs w:val="21"/>
              </w:rPr>
              <w:t>临床科室、病区二级库</w:t>
            </w:r>
          </w:p>
        </w:tc>
        <w:tc>
          <w:tcPr>
            <w:tcW w:w="823" w:type="dxa"/>
            <w:noWrap w:val="0"/>
            <w:vAlign w:val="top"/>
          </w:tcPr>
          <w:p>
            <w:pPr>
              <w:autoSpaceDE w:val="0"/>
              <w:autoSpaceDN w:val="0"/>
              <w:adjustRightInd w:val="0"/>
              <w:spacing w:line="360" w:lineRule="auto"/>
              <w:jc w:val="center"/>
              <w:rPr>
                <w:rFonts w:hint="eastAsia" w:ascii="宋体" w:hAnsi="宋体" w:eastAsia="宋体" w:cs="宋体"/>
                <w:color w:val="000000"/>
                <w:kern w:val="0"/>
                <w:szCs w:val="21"/>
                <w:lang w:eastAsia="zh-CN"/>
              </w:rPr>
            </w:pPr>
            <w:r>
              <w:rPr>
                <w:rFonts w:hint="eastAsia" w:ascii="宋体" w:hAnsi="宋体" w:cs="宋体"/>
                <w:color w:val="000000"/>
                <w:kern w:val="0"/>
                <w:szCs w:val="21"/>
              </w:rPr>
              <w:t>4</w:t>
            </w:r>
            <w:r>
              <w:rPr>
                <w:rFonts w:hint="eastAsia" w:ascii="宋体" w:hAnsi="宋体" w:cs="宋体"/>
                <w:color w:val="000000"/>
                <w:kern w:val="0"/>
                <w:szCs w:val="21"/>
                <w:lang w:val="en-US" w:eastAsia="zh-CN"/>
              </w:rPr>
              <w:t>9</w:t>
            </w:r>
          </w:p>
        </w:tc>
        <w:tc>
          <w:tcPr>
            <w:tcW w:w="3389" w:type="dxa"/>
            <w:noWrap w:val="0"/>
            <w:vAlign w:val="top"/>
          </w:tcPr>
          <w:p>
            <w:pPr>
              <w:autoSpaceDE w:val="0"/>
              <w:autoSpaceDN w:val="0"/>
              <w:adjustRightInd w:val="0"/>
              <w:spacing w:line="360" w:lineRule="auto"/>
              <w:jc w:val="center"/>
              <w:rPr>
                <w:rFonts w:hint="eastAsia" w:ascii="宋体" w:hAnsi="宋体" w:cs="宋体"/>
                <w:color w:val="000000"/>
                <w:kern w:val="0"/>
                <w:szCs w:val="21"/>
              </w:rPr>
            </w:pPr>
            <w:r>
              <w:rPr>
                <w:rFonts w:hint="eastAsia" w:ascii="宋体" w:hAnsi="宋体" w:cs="宋体"/>
                <w:color w:val="000000"/>
                <w:kern w:val="0"/>
                <w:szCs w:val="21"/>
              </w:rPr>
              <w:t>以实际增加科室数量为准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trPr>
        <w:tc>
          <w:tcPr>
            <w:tcW w:w="856" w:type="dxa"/>
            <w:noWrap w:val="0"/>
            <w:vAlign w:val="top"/>
          </w:tcPr>
          <w:p>
            <w:pPr>
              <w:autoSpaceDE w:val="0"/>
              <w:autoSpaceDN w:val="0"/>
              <w:adjustRightInd w:val="0"/>
              <w:spacing w:line="360" w:lineRule="auto"/>
              <w:jc w:val="center"/>
              <w:rPr>
                <w:rFonts w:ascii="宋体" w:hAnsi="宋体" w:cs="宋体"/>
                <w:color w:val="000000"/>
                <w:kern w:val="0"/>
                <w:szCs w:val="21"/>
              </w:rPr>
            </w:pPr>
            <w:r>
              <w:rPr>
                <w:rFonts w:hint="eastAsia" w:ascii="宋体" w:hAnsi="宋体" w:cs="宋体"/>
                <w:color w:val="000000"/>
                <w:kern w:val="0"/>
                <w:szCs w:val="21"/>
              </w:rPr>
              <w:t>3</w:t>
            </w:r>
          </w:p>
        </w:tc>
        <w:tc>
          <w:tcPr>
            <w:tcW w:w="3863" w:type="dxa"/>
            <w:noWrap w:val="0"/>
            <w:vAlign w:val="top"/>
          </w:tcPr>
          <w:p>
            <w:pPr>
              <w:autoSpaceDE w:val="0"/>
              <w:autoSpaceDN w:val="0"/>
              <w:adjustRightInd w:val="0"/>
              <w:spacing w:line="360" w:lineRule="auto"/>
              <w:jc w:val="center"/>
              <w:rPr>
                <w:rFonts w:hint="eastAsia" w:ascii="宋体" w:hAnsi="宋体" w:cs="宋体"/>
                <w:color w:val="000000"/>
                <w:kern w:val="0"/>
                <w:szCs w:val="21"/>
              </w:rPr>
            </w:pPr>
            <w:r>
              <w:rPr>
                <w:rFonts w:hint="eastAsia" w:ascii="宋体" w:hAnsi="宋体" w:cs="宋体"/>
                <w:color w:val="000000"/>
                <w:kern w:val="0"/>
                <w:szCs w:val="21"/>
              </w:rPr>
              <w:t>手术室耗材库</w:t>
            </w:r>
          </w:p>
        </w:tc>
        <w:tc>
          <w:tcPr>
            <w:tcW w:w="823" w:type="dxa"/>
            <w:noWrap w:val="0"/>
            <w:vAlign w:val="top"/>
          </w:tcPr>
          <w:p>
            <w:pPr>
              <w:autoSpaceDE w:val="0"/>
              <w:autoSpaceDN w:val="0"/>
              <w:adjustRightInd w:val="0"/>
              <w:spacing w:line="360" w:lineRule="auto"/>
              <w:jc w:val="center"/>
              <w:rPr>
                <w:rFonts w:hint="eastAsia" w:ascii="宋体" w:hAnsi="宋体" w:eastAsia="宋体" w:cs="宋体"/>
                <w:color w:val="000000"/>
                <w:kern w:val="0"/>
                <w:szCs w:val="21"/>
                <w:lang w:eastAsia="zh-CN"/>
              </w:rPr>
            </w:pPr>
            <w:r>
              <w:rPr>
                <w:rFonts w:hint="eastAsia" w:ascii="宋体" w:hAnsi="宋体" w:cs="宋体"/>
                <w:color w:val="000000"/>
                <w:kern w:val="0"/>
                <w:szCs w:val="21"/>
                <w:lang w:val="en-US" w:eastAsia="zh-CN"/>
              </w:rPr>
              <w:t>2</w:t>
            </w:r>
          </w:p>
        </w:tc>
        <w:tc>
          <w:tcPr>
            <w:tcW w:w="3389" w:type="dxa"/>
            <w:noWrap w:val="0"/>
            <w:vAlign w:val="top"/>
          </w:tcPr>
          <w:p>
            <w:pPr>
              <w:autoSpaceDE w:val="0"/>
              <w:autoSpaceDN w:val="0"/>
              <w:adjustRightInd w:val="0"/>
              <w:spacing w:line="360" w:lineRule="auto"/>
              <w:jc w:val="center"/>
              <w:rPr>
                <w:rFonts w:ascii="宋体" w:hAns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trPr>
        <w:tc>
          <w:tcPr>
            <w:tcW w:w="856" w:type="dxa"/>
            <w:noWrap w:val="0"/>
            <w:vAlign w:val="top"/>
          </w:tcPr>
          <w:p>
            <w:pPr>
              <w:autoSpaceDE w:val="0"/>
              <w:autoSpaceDN w:val="0"/>
              <w:adjustRightInd w:val="0"/>
              <w:spacing w:line="360" w:lineRule="auto"/>
              <w:jc w:val="center"/>
              <w:rPr>
                <w:rFonts w:ascii="宋体" w:hAnsi="宋体" w:cs="宋体"/>
                <w:color w:val="000000"/>
                <w:kern w:val="0"/>
                <w:szCs w:val="21"/>
              </w:rPr>
            </w:pPr>
            <w:r>
              <w:rPr>
                <w:rFonts w:hint="eastAsia" w:ascii="宋体" w:hAnsi="宋体" w:cs="宋体"/>
                <w:color w:val="000000"/>
                <w:kern w:val="0"/>
                <w:szCs w:val="21"/>
              </w:rPr>
              <w:t>4</w:t>
            </w:r>
          </w:p>
        </w:tc>
        <w:tc>
          <w:tcPr>
            <w:tcW w:w="3863" w:type="dxa"/>
            <w:noWrap w:val="0"/>
            <w:vAlign w:val="top"/>
          </w:tcPr>
          <w:p>
            <w:pPr>
              <w:autoSpaceDE w:val="0"/>
              <w:autoSpaceDN w:val="0"/>
              <w:adjustRightInd w:val="0"/>
              <w:spacing w:line="360" w:lineRule="auto"/>
              <w:jc w:val="center"/>
              <w:rPr>
                <w:rFonts w:hint="eastAsia" w:ascii="宋体" w:hAnsi="宋体" w:cs="宋体"/>
                <w:color w:val="000000"/>
                <w:kern w:val="0"/>
                <w:szCs w:val="21"/>
              </w:rPr>
            </w:pPr>
            <w:r>
              <w:rPr>
                <w:rFonts w:hint="eastAsia" w:ascii="宋体" w:hAnsi="宋体" w:cs="宋体"/>
                <w:color w:val="000000"/>
                <w:kern w:val="0"/>
                <w:szCs w:val="21"/>
                <w:lang w:val="en-US" w:eastAsia="zh-CN"/>
              </w:rPr>
              <w:t>介入手术室</w:t>
            </w:r>
            <w:r>
              <w:rPr>
                <w:rFonts w:hint="eastAsia" w:ascii="宋体" w:hAnsi="宋体" w:cs="宋体"/>
                <w:color w:val="000000"/>
                <w:kern w:val="0"/>
                <w:szCs w:val="21"/>
              </w:rPr>
              <w:t>耗材库</w:t>
            </w:r>
          </w:p>
        </w:tc>
        <w:tc>
          <w:tcPr>
            <w:tcW w:w="823" w:type="dxa"/>
            <w:noWrap w:val="0"/>
            <w:vAlign w:val="top"/>
          </w:tcPr>
          <w:p>
            <w:pPr>
              <w:autoSpaceDE w:val="0"/>
              <w:autoSpaceDN w:val="0"/>
              <w:adjustRightInd w:val="0"/>
              <w:spacing w:line="360" w:lineRule="auto"/>
              <w:jc w:val="center"/>
              <w:rPr>
                <w:rFonts w:hint="eastAsia" w:ascii="宋体" w:hAnsi="宋体" w:eastAsia="宋体" w:cs="宋体"/>
                <w:color w:val="000000"/>
                <w:kern w:val="0"/>
                <w:szCs w:val="21"/>
                <w:lang w:eastAsia="zh-CN"/>
              </w:rPr>
            </w:pPr>
            <w:r>
              <w:rPr>
                <w:rFonts w:hint="eastAsia" w:ascii="宋体" w:hAnsi="宋体" w:cs="宋体"/>
                <w:color w:val="000000"/>
                <w:kern w:val="0"/>
                <w:szCs w:val="21"/>
                <w:lang w:val="en-US" w:eastAsia="zh-CN"/>
              </w:rPr>
              <w:t>7</w:t>
            </w:r>
          </w:p>
        </w:tc>
        <w:tc>
          <w:tcPr>
            <w:tcW w:w="3389" w:type="dxa"/>
            <w:noWrap w:val="0"/>
            <w:vAlign w:val="top"/>
          </w:tcPr>
          <w:p>
            <w:pPr>
              <w:autoSpaceDE w:val="0"/>
              <w:autoSpaceDN w:val="0"/>
              <w:adjustRightInd w:val="0"/>
              <w:spacing w:line="360" w:lineRule="auto"/>
              <w:jc w:val="center"/>
              <w:rPr>
                <w:rFonts w:ascii="宋体" w:hAnsi="宋体" w:cs="宋体"/>
                <w:color w:val="000000"/>
                <w:kern w:val="0"/>
                <w:szCs w:val="21"/>
              </w:rPr>
            </w:pPr>
            <w:r>
              <w:rPr>
                <w:rFonts w:hint="eastAsia" w:ascii="宋体" w:hAnsi="宋体" w:cs="宋体"/>
                <w:color w:val="000000"/>
                <w:kern w:val="0"/>
                <w:szCs w:val="21"/>
              </w:rPr>
              <w:t>以实际增加科室数量为准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trPr>
        <w:tc>
          <w:tcPr>
            <w:tcW w:w="856" w:type="dxa"/>
            <w:noWrap w:val="0"/>
            <w:vAlign w:val="top"/>
          </w:tcPr>
          <w:p>
            <w:pPr>
              <w:autoSpaceDE w:val="0"/>
              <w:autoSpaceDN w:val="0"/>
              <w:adjustRightInd w:val="0"/>
              <w:spacing w:line="360" w:lineRule="auto"/>
              <w:jc w:val="center"/>
              <w:rPr>
                <w:rFonts w:ascii="宋体" w:hAnsi="宋体" w:cs="宋体"/>
                <w:color w:val="000000"/>
                <w:kern w:val="0"/>
                <w:szCs w:val="21"/>
              </w:rPr>
            </w:pPr>
            <w:r>
              <w:rPr>
                <w:rFonts w:hint="eastAsia" w:ascii="宋体" w:hAnsi="宋体" w:cs="宋体"/>
                <w:color w:val="000000"/>
                <w:kern w:val="0"/>
                <w:szCs w:val="21"/>
              </w:rPr>
              <w:t>5</w:t>
            </w:r>
          </w:p>
        </w:tc>
        <w:tc>
          <w:tcPr>
            <w:tcW w:w="3863" w:type="dxa"/>
            <w:noWrap w:val="0"/>
            <w:vAlign w:val="top"/>
          </w:tcPr>
          <w:p>
            <w:pPr>
              <w:autoSpaceDE w:val="0"/>
              <w:autoSpaceDN w:val="0"/>
              <w:adjustRightInd w:val="0"/>
              <w:spacing w:line="360" w:lineRule="auto"/>
              <w:jc w:val="center"/>
              <w:rPr>
                <w:rFonts w:hint="default"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门诊手术室耗材库</w:t>
            </w:r>
          </w:p>
        </w:tc>
        <w:tc>
          <w:tcPr>
            <w:tcW w:w="823" w:type="dxa"/>
            <w:noWrap w:val="0"/>
            <w:vAlign w:val="top"/>
          </w:tcPr>
          <w:p>
            <w:pPr>
              <w:autoSpaceDE w:val="0"/>
              <w:autoSpaceDN w:val="0"/>
              <w:adjustRightInd w:val="0"/>
              <w:spacing w:line="360" w:lineRule="auto"/>
              <w:jc w:val="center"/>
              <w:rPr>
                <w:rFonts w:hint="eastAsia" w:ascii="宋体" w:hAnsi="宋体" w:eastAsia="宋体" w:cs="宋体"/>
                <w:color w:val="000000"/>
                <w:kern w:val="0"/>
                <w:szCs w:val="21"/>
                <w:lang w:eastAsia="zh-CN"/>
              </w:rPr>
            </w:pPr>
            <w:r>
              <w:rPr>
                <w:rFonts w:hint="eastAsia" w:ascii="宋体" w:hAnsi="宋体" w:cs="宋体"/>
                <w:color w:val="000000"/>
                <w:kern w:val="0"/>
                <w:szCs w:val="21"/>
                <w:lang w:val="en-US" w:eastAsia="zh-CN"/>
              </w:rPr>
              <w:t>1</w:t>
            </w:r>
          </w:p>
        </w:tc>
        <w:tc>
          <w:tcPr>
            <w:tcW w:w="3389" w:type="dxa"/>
            <w:noWrap w:val="0"/>
            <w:vAlign w:val="top"/>
          </w:tcPr>
          <w:p>
            <w:pPr>
              <w:autoSpaceDE w:val="0"/>
              <w:autoSpaceDN w:val="0"/>
              <w:adjustRightInd w:val="0"/>
              <w:spacing w:line="360" w:lineRule="auto"/>
              <w:jc w:val="center"/>
              <w:rPr>
                <w:rFonts w:ascii="宋体" w:hAns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trPr>
        <w:tc>
          <w:tcPr>
            <w:tcW w:w="856" w:type="dxa"/>
            <w:noWrap w:val="0"/>
            <w:vAlign w:val="top"/>
          </w:tcPr>
          <w:p>
            <w:pPr>
              <w:autoSpaceDE w:val="0"/>
              <w:autoSpaceDN w:val="0"/>
              <w:adjustRightInd w:val="0"/>
              <w:spacing w:line="360" w:lineRule="auto"/>
              <w:jc w:val="center"/>
              <w:rPr>
                <w:rFonts w:hint="eastAsia"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6</w:t>
            </w:r>
          </w:p>
        </w:tc>
        <w:tc>
          <w:tcPr>
            <w:tcW w:w="3863" w:type="dxa"/>
            <w:noWrap w:val="0"/>
            <w:vAlign w:val="top"/>
          </w:tcPr>
          <w:p>
            <w:pPr>
              <w:autoSpaceDE w:val="0"/>
              <w:autoSpaceDN w:val="0"/>
              <w:adjustRightInd w:val="0"/>
              <w:spacing w:line="360" w:lineRule="auto"/>
              <w:jc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rPr>
              <w:t>胃镜室耗材库</w:t>
            </w:r>
          </w:p>
        </w:tc>
        <w:tc>
          <w:tcPr>
            <w:tcW w:w="823" w:type="dxa"/>
            <w:noWrap w:val="0"/>
            <w:vAlign w:val="top"/>
          </w:tcPr>
          <w:p>
            <w:pPr>
              <w:autoSpaceDE w:val="0"/>
              <w:autoSpaceDN w:val="0"/>
              <w:adjustRightInd w:val="0"/>
              <w:spacing w:line="360" w:lineRule="auto"/>
              <w:jc w:val="center"/>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lang w:val="en-US" w:eastAsia="zh-CN"/>
              </w:rPr>
              <w:t>2</w:t>
            </w:r>
          </w:p>
        </w:tc>
        <w:tc>
          <w:tcPr>
            <w:tcW w:w="3389" w:type="dxa"/>
            <w:noWrap w:val="0"/>
            <w:vAlign w:val="top"/>
          </w:tcPr>
          <w:p>
            <w:pPr>
              <w:autoSpaceDE w:val="0"/>
              <w:autoSpaceDN w:val="0"/>
              <w:adjustRightInd w:val="0"/>
              <w:spacing w:line="360" w:lineRule="auto"/>
              <w:jc w:val="center"/>
              <w:rPr>
                <w:rFonts w:ascii="宋体" w:hAns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trPr>
        <w:tc>
          <w:tcPr>
            <w:tcW w:w="856" w:type="dxa"/>
            <w:noWrap w:val="0"/>
            <w:vAlign w:val="top"/>
          </w:tcPr>
          <w:p>
            <w:pPr>
              <w:autoSpaceDE w:val="0"/>
              <w:autoSpaceDN w:val="0"/>
              <w:adjustRightInd w:val="0"/>
              <w:spacing w:line="360" w:lineRule="auto"/>
              <w:jc w:val="center"/>
              <w:rPr>
                <w:rFonts w:hint="eastAsia"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7</w:t>
            </w:r>
          </w:p>
        </w:tc>
        <w:tc>
          <w:tcPr>
            <w:tcW w:w="3863" w:type="dxa"/>
            <w:noWrap w:val="0"/>
            <w:vAlign w:val="top"/>
          </w:tcPr>
          <w:p>
            <w:pPr>
              <w:autoSpaceDE w:val="0"/>
              <w:autoSpaceDN w:val="0"/>
              <w:adjustRightInd w:val="0"/>
              <w:spacing w:line="360" w:lineRule="auto"/>
              <w:jc w:val="center"/>
              <w:rPr>
                <w:rFonts w:hint="eastAsia" w:ascii="宋体" w:hAnsi="宋体" w:cs="宋体"/>
                <w:color w:val="000000"/>
                <w:kern w:val="0"/>
                <w:szCs w:val="21"/>
              </w:rPr>
            </w:pPr>
            <w:r>
              <w:rPr>
                <w:rFonts w:hint="eastAsia" w:ascii="宋体" w:hAnsi="宋体" w:cs="宋体"/>
                <w:color w:val="000000"/>
                <w:kern w:val="0"/>
                <w:szCs w:val="21"/>
              </w:rPr>
              <w:t>口腔科耗材库</w:t>
            </w:r>
          </w:p>
        </w:tc>
        <w:tc>
          <w:tcPr>
            <w:tcW w:w="823" w:type="dxa"/>
            <w:noWrap w:val="0"/>
            <w:vAlign w:val="top"/>
          </w:tcPr>
          <w:p>
            <w:pPr>
              <w:autoSpaceDE w:val="0"/>
              <w:autoSpaceDN w:val="0"/>
              <w:adjustRightInd w:val="0"/>
              <w:spacing w:line="360" w:lineRule="auto"/>
              <w:jc w:val="center"/>
              <w:rPr>
                <w:rFonts w:hint="eastAsia" w:ascii="宋体" w:hAnsi="宋体" w:cs="宋体"/>
                <w:color w:val="000000"/>
                <w:kern w:val="0"/>
                <w:szCs w:val="21"/>
              </w:rPr>
            </w:pPr>
            <w:r>
              <w:rPr>
                <w:rFonts w:hint="eastAsia" w:ascii="宋体" w:hAnsi="宋体" w:cs="宋体"/>
                <w:color w:val="000000"/>
                <w:kern w:val="0"/>
                <w:szCs w:val="21"/>
              </w:rPr>
              <w:t>1</w:t>
            </w:r>
          </w:p>
        </w:tc>
        <w:tc>
          <w:tcPr>
            <w:tcW w:w="3389" w:type="dxa"/>
            <w:noWrap w:val="0"/>
            <w:vAlign w:val="top"/>
          </w:tcPr>
          <w:p>
            <w:pPr>
              <w:autoSpaceDE w:val="0"/>
              <w:autoSpaceDN w:val="0"/>
              <w:adjustRightInd w:val="0"/>
              <w:spacing w:line="360" w:lineRule="auto"/>
              <w:jc w:val="center"/>
              <w:rPr>
                <w:rFonts w:ascii="宋体" w:hAnsi="宋体" w:cs="宋体"/>
                <w:color w:val="000000"/>
                <w:kern w:val="0"/>
                <w:szCs w:val="21"/>
              </w:rPr>
            </w:pPr>
          </w:p>
        </w:tc>
      </w:tr>
    </w:tbl>
    <w:p>
      <w:pPr>
        <w:widowControl/>
        <w:spacing w:before="240" w:beforeLines="100" w:after="240" w:afterLines="100" w:line="360" w:lineRule="auto"/>
        <w:ind w:firstLine="420" w:firstLineChars="200"/>
        <w:rPr>
          <w:rFonts w:hint="eastAsia" w:ascii="宋体" w:hAnsi="宋体" w:cs="仿宋_GB2312"/>
          <w:kern w:val="0"/>
          <w:szCs w:val="21"/>
        </w:rPr>
      </w:pPr>
      <w:r>
        <w:rPr>
          <w:rFonts w:hint="eastAsia" w:ascii="宋体" w:hAnsi="宋体" w:cs="仿宋_GB2312"/>
          <w:kern w:val="0"/>
          <w:szCs w:val="21"/>
        </w:rPr>
        <w:t>4.3 院内服务建设：主要包括医用耗材供应商的采购配送管理服务、院内物流管理服务、年度运营管理服务、供应商及品种基础资料、业务数据管理服务、规范化标准化体系建设等；</w:t>
      </w:r>
    </w:p>
    <w:p>
      <w:pPr>
        <w:widowControl/>
        <w:spacing w:before="240" w:beforeLines="100" w:after="240" w:afterLines="100" w:line="360" w:lineRule="auto"/>
        <w:rPr>
          <w:rFonts w:hint="eastAsia" w:ascii="宋体" w:hAnsi="宋体" w:cs="仿宋_GB2312"/>
          <w:b/>
          <w:bCs/>
          <w:kern w:val="0"/>
          <w:szCs w:val="21"/>
          <w:lang w:val="en-US" w:eastAsia="zh-CN"/>
        </w:rPr>
      </w:pPr>
      <w:r>
        <w:rPr>
          <w:rFonts w:hint="eastAsia" w:ascii="宋体" w:hAnsi="宋体" w:cs="仿宋_GB2312"/>
          <w:b/>
          <w:bCs/>
          <w:kern w:val="0"/>
          <w:szCs w:val="21"/>
          <w:lang w:val="en-US" w:eastAsia="zh-CN"/>
        </w:rPr>
        <w:t>三、请有意向的公司按以下要求制作资料（一正一副）</w:t>
      </w:r>
    </w:p>
    <w:p>
      <w:pPr>
        <w:widowControl/>
        <w:spacing w:before="240" w:beforeLines="100" w:after="240" w:afterLines="100" w:line="360" w:lineRule="auto"/>
        <w:ind w:firstLine="420" w:firstLineChars="200"/>
        <w:rPr>
          <w:rFonts w:hint="eastAsia" w:ascii="宋体" w:hAnsi="宋体" w:cs="仿宋_GB2312"/>
          <w:kern w:val="0"/>
          <w:szCs w:val="21"/>
          <w:lang w:val="en-US" w:eastAsia="zh-CN"/>
        </w:rPr>
      </w:pPr>
      <w:r>
        <w:rPr>
          <w:rFonts w:hint="eastAsia" w:ascii="宋体" w:hAnsi="宋体" w:cs="仿宋_GB2312"/>
          <w:kern w:val="0"/>
          <w:szCs w:val="21"/>
          <w:lang w:val="en-US" w:eastAsia="zh-CN"/>
        </w:rPr>
        <w:t>1.公司营业执照复印件及委托书</w:t>
      </w:r>
      <w:bookmarkStart w:id="6" w:name="_GoBack"/>
      <w:bookmarkEnd w:id="6"/>
      <w:r>
        <w:rPr>
          <w:rFonts w:hint="eastAsia" w:ascii="宋体" w:hAnsi="宋体" w:cs="仿宋_GB2312"/>
          <w:kern w:val="0"/>
          <w:szCs w:val="21"/>
          <w:lang w:val="en-US" w:eastAsia="zh-CN"/>
        </w:rPr>
        <w:t>；</w:t>
      </w:r>
    </w:p>
    <w:p>
      <w:pPr>
        <w:widowControl/>
        <w:spacing w:before="240" w:beforeLines="100" w:after="240" w:afterLines="100" w:line="360" w:lineRule="auto"/>
        <w:ind w:firstLine="420" w:firstLineChars="200"/>
        <w:rPr>
          <w:rFonts w:hint="default" w:ascii="宋体" w:hAnsi="宋体" w:cs="仿宋_GB2312"/>
          <w:kern w:val="0"/>
          <w:szCs w:val="21"/>
          <w:lang w:val="en-US" w:eastAsia="zh-CN"/>
        </w:rPr>
      </w:pPr>
      <w:r>
        <w:rPr>
          <w:rFonts w:hint="eastAsia" w:ascii="宋体" w:hAnsi="宋体" w:cs="仿宋_GB2312"/>
          <w:kern w:val="0"/>
          <w:szCs w:val="21"/>
          <w:lang w:val="en-US" w:eastAsia="zh-CN"/>
        </w:rPr>
        <w:t>2.合理的服务方案；</w:t>
      </w:r>
    </w:p>
    <w:p>
      <w:pPr>
        <w:widowControl/>
        <w:spacing w:before="240" w:beforeLines="100" w:after="240" w:afterLines="100" w:line="360" w:lineRule="auto"/>
        <w:ind w:firstLine="420" w:firstLineChars="200"/>
        <w:rPr>
          <w:rFonts w:hint="eastAsia" w:ascii="宋体" w:hAnsi="宋体" w:cs="仿宋_GB2312"/>
          <w:kern w:val="0"/>
          <w:szCs w:val="21"/>
          <w:lang w:val="en-US" w:eastAsia="zh-CN"/>
        </w:rPr>
      </w:pPr>
      <w:r>
        <w:rPr>
          <w:rFonts w:hint="eastAsia" w:ascii="宋体" w:hAnsi="宋体" w:cs="仿宋_GB2312"/>
          <w:kern w:val="0"/>
          <w:szCs w:val="21"/>
          <w:lang w:val="en-US" w:eastAsia="zh-CN"/>
        </w:rPr>
        <w:t>3.投标单位认为需要提供的其他材料（包括服务承诺和业绩以及相关证明材料等）；</w:t>
      </w:r>
    </w:p>
    <w:p>
      <w:pPr>
        <w:pStyle w:val="2"/>
        <w:rPr>
          <w:rFonts w:hint="default"/>
          <w:lang w:val="en-US" w:eastAsia="zh-CN"/>
        </w:rPr>
      </w:pPr>
      <w:r>
        <w:rPr>
          <w:rFonts w:hint="eastAsia" w:ascii="宋体" w:hAnsi="宋体" w:cs="仿宋_GB2312"/>
          <w:kern w:val="0"/>
          <w:szCs w:val="21"/>
          <w:lang w:val="en-US" w:eastAsia="zh-CN"/>
        </w:rPr>
        <w:t>4.报价单。</w:t>
      </w:r>
    </w:p>
    <w:p>
      <w:pPr>
        <w:widowControl/>
        <w:spacing w:before="240" w:beforeLines="100" w:after="240" w:afterLines="100" w:line="360" w:lineRule="auto"/>
        <w:ind w:firstLine="420" w:firstLineChars="200"/>
        <w:rPr>
          <w:rFonts w:hint="eastAsia" w:ascii="宋体" w:hAnsi="宋体" w:cs="仿宋_GB2312"/>
          <w:kern w:val="0"/>
          <w:szCs w:val="21"/>
          <w:lang w:val="en-US" w:eastAsia="zh-CN"/>
        </w:rPr>
      </w:pPr>
      <w:r>
        <w:rPr>
          <w:rFonts w:hint="eastAsia" w:ascii="宋体" w:hAnsi="宋体" w:cs="仿宋_GB2312"/>
          <w:kern w:val="0"/>
          <w:szCs w:val="21"/>
          <w:lang w:val="en-US" w:eastAsia="zh-CN"/>
        </w:rPr>
        <w:t>以上所有资料均须加盖公司红章，装订成册密封包装，包装袋上注明联系人信息。请有意向的公司于2024年12月27日17：00前将调研资料寄至丽水市中心医院采购中心。</w:t>
      </w:r>
    </w:p>
    <w:p>
      <w:pPr>
        <w:widowControl/>
        <w:spacing w:before="240" w:beforeLines="100" w:after="240" w:afterLines="100" w:line="360" w:lineRule="auto"/>
        <w:rPr>
          <w:rFonts w:hint="eastAsia" w:ascii="宋体" w:hAnsi="宋体" w:cs="仿宋_GB2312"/>
          <w:b/>
          <w:bCs/>
          <w:kern w:val="0"/>
          <w:szCs w:val="21"/>
          <w:lang w:val="en-US" w:eastAsia="zh-CN"/>
        </w:rPr>
      </w:pPr>
      <w:r>
        <w:rPr>
          <w:rFonts w:hint="eastAsia" w:ascii="宋体" w:hAnsi="宋体" w:cs="仿宋_GB2312"/>
          <w:b/>
          <w:bCs/>
          <w:kern w:val="0"/>
          <w:szCs w:val="21"/>
          <w:lang w:val="en-US" w:eastAsia="zh-CN"/>
        </w:rPr>
        <w:t>四、其他说明</w:t>
      </w:r>
    </w:p>
    <w:p>
      <w:pPr>
        <w:widowControl/>
        <w:spacing w:before="240" w:beforeLines="100" w:after="240" w:afterLines="100" w:line="360" w:lineRule="auto"/>
        <w:rPr>
          <w:rFonts w:hint="eastAsia" w:ascii="宋体" w:hAnsi="宋体" w:cs="仿宋_GB2312"/>
          <w:kern w:val="0"/>
          <w:szCs w:val="21"/>
          <w:lang w:val="en-US" w:eastAsia="zh-CN"/>
        </w:rPr>
      </w:pPr>
      <w:r>
        <w:rPr>
          <w:rFonts w:hint="eastAsia" w:ascii="宋体" w:hAnsi="宋体" w:cs="仿宋_GB2312"/>
          <w:kern w:val="0"/>
          <w:szCs w:val="21"/>
          <w:lang w:val="en-US" w:eastAsia="zh-CN"/>
        </w:rPr>
        <w:t>1.洽谈时间另行通知。</w:t>
      </w:r>
    </w:p>
    <w:p>
      <w:pPr>
        <w:widowControl/>
        <w:spacing w:before="240" w:beforeLines="100" w:after="240" w:afterLines="100" w:line="360" w:lineRule="auto"/>
        <w:rPr>
          <w:rFonts w:hint="eastAsia" w:ascii="宋体" w:hAnsi="宋体" w:cs="仿宋_GB2312"/>
          <w:kern w:val="0"/>
          <w:szCs w:val="21"/>
          <w:lang w:val="en-US" w:eastAsia="zh-CN"/>
        </w:rPr>
      </w:pPr>
      <w:r>
        <w:rPr>
          <w:rFonts w:hint="eastAsia" w:ascii="宋体" w:hAnsi="宋体" w:cs="仿宋_GB2312"/>
          <w:kern w:val="0"/>
          <w:szCs w:val="21"/>
          <w:lang w:val="en-US" w:eastAsia="zh-CN"/>
        </w:rPr>
        <w:t>2.商务咨询：采购中心殷老师 电话:0578-2285467</w:t>
      </w:r>
    </w:p>
    <w:p>
      <w:pPr>
        <w:widowControl/>
        <w:spacing w:before="240" w:beforeLines="100" w:after="240" w:afterLines="100" w:line="360" w:lineRule="auto"/>
        <w:rPr>
          <w:rFonts w:hint="default" w:ascii="宋体" w:hAnsi="宋体" w:cs="仿宋_GB2312"/>
          <w:kern w:val="0"/>
          <w:szCs w:val="21"/>
          <w:lang w:val="en-US" w:eastAsia="zh-CN"/>
        </w:rPr>
      </w:pPr>
      <w:r>
        <w:rPr>
          <w:rFonts w:hint="eastAsia" w:ascii="宋体" w:hAnsi="宋体" w:cs="仿宋_GB2312"/>
          <w:kern w:val="0"/>
          <w:szCs w:val="21"/>
          <w:lang w:val="en-US" w:eastAsia="zh-CN"/>
        </w:rPr>
        <w:t>联系地址：浙江省丽水市括苍路289号 丽水市中心医院采购中心  邮编：323000</w:t>
      </w:r>
    </w:p>
    <w:p>
      <w:pPr>
        <w:widowControl/>
        <w:spacing w:before="240" w:beforeLines="100" w:after="240" w:afterLines="100" w:line="360" w:lineRule="auto"/>
        <w:rPr>
          <w:rFonts w:hint="eastAsia" w:ascii="宋体" w:hAnsi="宋体" w:cs="仿宋_GB2312"/>
          <w:kern w:val="0"/>
          <w:szCs w:val="21"/>
          <w:lang w:val="en-US" w:eastAsia="zh-CN"/>
        </w:rPr>
      </w:pPr>
    </w:p>
    <w:p>
      <w:pPr>
        <w:widowControl/>
        <w:spacing w:before="240" w:beforeLines="100" w:after="240" w:afterLines="100" w:line="360" w:lineRule="auto"/>
        <w:rPr>
          <w:rFonts w:hint="eastAsia" w:ascii="宋体" w:hAnsi="宋体" w:cs="仿宋_GB2312"/>
          <w:kern w:val="0"/>
          <w:szCs w:val="21"/>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Sans Serif">
    <w:altName w:val="Segoe Print"/>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730984"/>
    </w:sdtPr>
    <w:sdtContent>
      <w:p>
        <w:pPr>
          <w:pStyle w:val="7"/>
          <w:jc w:val="center"/>
        </w:pPr>
        <w:r>
          <w:fldChar w:fldCharType="begin"/>
        </w:r>
        <w:r>
          <w:instrText xml:space="preserve"> PAGE   \* MERGEFORMAT </w:instrText>
        </w:r>
        <w:r>
          <w:fldChar w:fldCharType="separate"/>
        </w:r>
        <w:r>
          <w:rPr>
            <w:lang w:val="zh-CN"/>
          </w:rPr>
          <w:t>8</w:t>
        </w:r>
        <w:r>
          <w:rPr>
            <w:lang w:val="zh-CN"/>
          </w:rPr>
          <w:fldChar w:fldCharType="end"/>
        </w:r>
      </w:p>
    </w:sdtContent>
  </w:sdt>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85C42"/>
    <w:multiLevelType w:val="singleLevel"/>
    <w:tmpl w:val="28F85C42"/>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QwMjY1NGZiYmU1MWRlNjg3ZmViZjFkM2E1YzgwOGIifQ=="/>
  </w:docVars>
  <w:rsids>
    <w:rsidRoot w:val="00D72C47"/>
    <w:rsid w:val="0001333C"/>
    <w:rsid w:val="000426F4"/>
    <w:rsid w:val="00055D48"/>
    <w:rsid w:val="000668CD"/>
    <w:rsid w:val="00072D27"/>
    <w:rsid w:val="000B7A9C"/>
    <w:rsid w:val="000D1EAE"/>
    <w:rsid w:val="000E7654"/>
    <w:rsid w:val="000F6BFB"/>
    <w:rsid w:val="00155E53"/>
    <w:rsid w:val="00181EEC"/>
    <w:rsid w:val="00183646"/>
    <w:rsid w:val="00194F02"/>
    <w:rsid w:val="001B58C2"/>
    <w:rsid w:val="001F5506"/>
    <w:rsid w:val="001F6BBA"/>
    <w:rsid w:val="002055FB"/>
    <w:rsid w:val="002112AE"/>
    <w:rsid w:val="0024266B"/>
    <w:rsid w:val="002A01AD"/>
    <w:rsid w:val="002A60E0"/>
    <w:rsid w:val="00354367"/>
    <w:rsid w:val="003635D4"/>
    <w:rsid w:val="00367095"/>
    <w:rsid w:val="003A68C5"/>
    <w:rsid w:val="003C464F"/>
    <w:rsid w:val="003F0CA2"/>
    <w:rsid w:val="00401926"/>
    <w:rsid w:val="00414A4F"/>
    <w:rsid w:val="004230A8"/>
    <w:rsid w:val="004375EF"/>
    <w:rsid w:val="004405EA"/>
    <w:rsid w:val="00465736"/>
    <w:rsid w:val="00492425"/>
    <w:rsid w:val="00495841"/>
    <w:rsid w:val="004B597F"/>
    <w:rsid w:val="004B709A"/>
    <w:rsid w:val="00512973"/>
    <w:rsid w:val="00542BC8"/>
    <w:rsid w:val="005771DE"/>
    <w:rsid w:val="005A3726"/>
    <w:rsid w:val="005D1A3B"/>
    <w:rsid w:val="005F49DF"/>
    <w:rsid w:val="005F711F"/>
    <w:rsid w:val="00643601"/>
    <w:rsid w:val="00666435"/>
    <w:rsid w:val="00685927"/>
    <w:rsid w:val="0072469E"/>
    <w:rsid w:val="0074589C"/>
    <w:rsid w:val="00765755"/>
    <w:rsid w:val="00776F48"/>
    <w:rsid w:val="007B3B4D"/>
    <w:rsid w:val="007C4F1A"/>
    <w:rsid w:val="007F6DFC"/>
    <w:rsid w:val="008127C5"/>
    <w:rsid w:val="008201C6"/>
    <w:rsid w:val="008212E1"/>
    <w:rsid w:val="00874C91"/>
    <w:rsid w:val="00893EE4"/>
    <w:rsid w:val="008B3A15"/>
    <w:rsid w:val="008C4061"/>
    <w:rsid w:val="008C50BA"/>
    <w:rsid w:val="008D0419"/>
    <w:rsid w:val="008D2BBE"/>
    <w:rsid w:val="00973ADD"/>
    <w:rsid w:val="00995630"/>
    <w:rsid w:val="009C148B"/>
    <w:rsid w:val="009D01F0"/>
    <w:rsid w:val="00A06EB7"/>
    <w:rsid w:val="00A23671"/>
    <w:rsid w:val="00A2626B"/>
    <w:rsid w:val="00A50CF7"/>
    <w:rsid w:val="00A56752"/>
    <w:rsid w:val="00A9539E"/>
    <w:rsid w:val="00A96EFC"/>
    <w:rsid w:val="00AA48DA"/>
    <w:rsid w:val="00AB39A9"/>
    <w:rsid w:val="00AB5586"/>
    <w:rsid w:val="00AC78CD"/>
    <w:rsid w:val="00AC78FF"/>
    <w:rsid w:val="00B218DF"/>
    <w:rsid w:val="00B54343"/>
    <w:rsid w:val="00B609CD"/>
    <w:rsid w:val="00B64310"/>
    <w:rsid w:val="00B70B82"/>
    <w:rsid w:val="00B735BD"/>
    <w:rsid w:val="00B94AA7"/>
    <w:rsid w:val="00BC1C13"/>
    <w:rsid w:val="00BD40F5"/>
    <w:rsid w:val="00BF3592"/>
    <w:rsid w:val="00C60094"/>
    <w:rsid w:val="00C83700"/>
    <w:rsid w:val="00C9644B"/>
    <w:rsid w:val="00C97904"/>
    <w:rsid w:val="00CA0BB0"/>
    <w:rsid w:val="00CA332B"/>
    <w:rsid w:val="00CA754B"/>
    <w:rsid w:val="00CA7616"/>
    <w:rsid w:val="00CC3A21"/>
    <w:rsid w:val="00CD7D92"/>
    <w:rsid w:val="00CF1522"/>
    <w:rsid w:val="00D025DB"/>
    <w:rsid w:val="00D06CFB"/>
    <w:rsid w:val="00D167CE"/>
    <w:rsid w:val="00D22C6E"/>
    <w:rsid w:val="00D244AB"/>
    <w:rsid w:val="00D30D4F"/>
    <w:rsid w:val="00D31CA7"/>
    <w:rsid w:val="00D4519C"/>
    <w:rsid w:val="00D658BC"/>
    <w:rsid w:val="00D72C47"/>
    <w:rsid w:val="00D733BA"/>
    <w:rsid w:val="00DD79C2"/>
    <w:rsid w:val="00E14297"/>
    <w:rsid w:val="00E27D2C"/>
    <w:rsid w:val="00E41633"/>
    <w:rsid w:val="00E62F16"/>
    <w:rsid w:val="00E63376"/>
    <w:rsid w:val="00E75028"/>
    <w:rsid w:val="00E7658C"/>
    <w:rsid w:val="00ED4474"/>
    <w:rsid w:val="00F13D38"/>
    <w:rsid w:val="00F22E77"/>
    <w:rsid w:val="00F5195F"/>
    <w:rsid w:val="00F90CB2"/>
    <w:rsid w:val="00F9581F"/>
    <w:rsid w:val="00FB1A82"/>
    <w:rsid w:val="023A0C1C"/>
    <w:rsid w:val="05E337FC"/>
    <w:rsid w:val="0AFA65C2"/>
    <w:rsid w:val="145E0C1D"/>
    <w:rsid w:val="167D36A0"/>
    <w:rsid w:val="19200D6C"/>
    <w:rsid w:val="1A6000FA"/>
    <w:rsid w:val="1F5253C2"/>
    <w:rsid w:val="21336F8E"/>
    <w:rsid w:val="2640194B"/>
    <w:rsid w:val="374C0952"/>
    <w:rsid w:val="3CEE28DF"/>
    <w:rsid w:val="40DD7653"/>
    <w:rsid w:val="42291FBB"/>
    <w:rsid w:val="45AA3413"/>
    <w:rsid w:val="493E459E"/>
    <w:rsid w:val="4E5C54C6"/>
    <w:rsid w:val="5198252D"/>
    <w:rsid w:val="51BB2504"/>
    <w:rsid w:val="54211D64"/>
    <w:rsid w:val="5DA63A6E"/>
    <w:rsid w:val="61D45648"/>
    <w:rsid w:val="64B22A99"/>
    <w:rsid w:val="657C2774"/>
    <w:rsid w:val="66A31A8D"/>
    <w:rsid w:val="69085492"/>
    <w:rsid w:val="6EBA14BD"/>
    <w:rsid w:val="6F086C65"/>
    <w:rsid w:val="6FC62348"/>
    <w:rsid w:val="70EB650A"/>
    <w:rsid w:val="71167A14"/>
    <w:rsid w:val="75864A53"/>
    <w:rsid w:val="7D21578B"/>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iPriority="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locked/>
    <w:uiPriority w:val="0"/>
    <w:pPr>
      <w:keepNext/>
      <w:keepLines/>
      <w:spacing w:before="260" w:after="260" w:line="413" w:lineRule="auto"/>
      <w:outlineLvl w:val="1"/>
    </w:pPr>
    <w:rPr>
      <w:rFonts w:ascii="Arial" w:hAnsi="Arial" w:eastAsia="黑体"/>
      <w:b/>
      <w:bCs/>
      <w:sz w:val="32"/>
      <w:szCs w:val="32"/>
    </w:rPr>
  </w:style>
  <w:style w:type="paragraph" w:styleId="4">
    <w:name w:val="heading 4"/>
    <w:basedOn w:val="1"/>
    <w:next w:val="1"/>
    <w:qFormat/>
    <w:locked/>
    <w:uiPriority w:val="0"/>
    <w:pPr>
      <w:keepNext/>
      <w:keepLines/>
      <w:spacing w:before="280" w:after="290" w:line="372" w:lineRule="auto"/>
      <w:outlineLvl w:val="3"/>
    </w:pPr>
    <w:rPr>
      <w:rFonts w:ascii="Arial" w:hAnsi="Arial" w:eastAsia="黑体"/>
      <w:b/>
      <w:bCs/>
      <w:sz w:val="28"/>
      <w:szCs w:val="28"/>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1"/>
    <w:qFormat/>
    <w:uiPriority w:val="0"/>
    <w:pPr>
      <w:ind w:firstLine="200" w:firstLineChars="200"/>
    </w:pPr>
    <w:rPr>
      <w:rFonts w:ascii="Calibri" w:hAnsi="Calibri"/>
      <w:color w:val="000000"/>
    </w:rPr>
  </w:style>
  <w:style w:type="paragraph" w:styleId="5">
    <w:name w:val="Plain Text"/>
    <w:basedOn w:val="1"/>
    <w:qFormat/>
    <w:uiPriority w:val="99"/>
    <w:pPr>
      <w:spacing w:beforeLines="50" w:afterLines="50" w:line="400" w:lineRule="exact"/>
    </w:pPr>
    <w:rPr>
      <w:rFonts w:ascii="宋体" w:hAnsi="Courier New" w:cs="宋体"/>
      <w:sz w:val="24"/>
    </w:rPr>
  </w:style>
  <w:style w:type="paragraph" w:styleId="6">
    <w:name w:val="Balloon Text"/>
    <w:basedOn w:val="1"/>
    <w:link w:val="19"/>
    <w:semiHidden/>
    <w:unhideWhenUsed/>
    <w:qFormat/>
    <w:uiPriority w:val="99"/>
    <w:rPr>
      <w:sz w:val="18"/>
      <w:szCs w:val="18"/>
    </w:rPr>
  </w:style>
  <w:style w:type="paragraph" w:styleId="7">
    <w:name w:val="footer"/>
    <w:basedOn w:val="1"/>
    <w:link w:val="13"/>
    <w:qFormat/>
    <w:uiPriority w:val="99"/>
    <w:pPr>
      <w:tabs>
        <w:tab w:val="center" w:pos="4153"/>
        <w:tab w:val="right" w:pos="8306"/>
      </w:tabs>
      <w:snapToGrid w:val="0"/>
      <w:jc w:val="left"/>
    </w:pPr>
    <w:rPr>
      <w:sz w:val="18"/>
      <w:szCs w:val="18"/>
    </w:rPr>
  </w:style>
  <w:style w:type="paragraph" w:styleId="8">
    <w:name w:val="header"/>
    <w:basedOn w:val="1"/>
    <w:link w:val="12"/>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locked/>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页眉 Char"/>
    <w:link w:val="8"/>
    <w:qFormat/>
    <w:locked/>
    <w:uiPriority w:val="99"/>
    <w:rPr>
      <w:rFonts w:ascii="Times New Roman" w:hAnsi="Times New Roman" w:eastAsia="宋体" w:cs="Times New Roman"/>
      <w:sz w:val="18"/>
      <w:szCs w:val="18"/>
    </w:rPr>
  </w:style>
  <w:style w:type="character" w:customStyle="1" w:styleId="13">
    <w:name w:val="页脚 Char"/>
    <w:link w:val="7"/>
    <w:qFormat/>
    <w:locked/>
    <w:uiPriority w:val="99"/>
    <w:rPr>
      <w:rFonts w:ascii="Times New Roman" w:hAnsi="Times New Roman" w:eastAsia="宋体" w:cs="Times New Roman"/>
      <w:sz w:val="18"/>
      <w:szCs w:val="18"/>
    </w:rPr>
  </w:style>
  <w:style w:type="paragraph" w:styleId="14">
    <w:name w:val="List Paragraph"/>
    <w:basedOn w:val="1"/>
    <w:qFormat/>
    <w:uiPriority w:val="99"/>
    <w:pPr>
      <w:ind w:firstLine="420" w:firstLineChars="200"/>
    </w:pPr>
  </w:style>
  <w:style w:type="paragraph" w:customStyle="1" w:styleId="15">
    <w:name w:val="列出段落1"/>
    <w:basedOn w:val="1"/>
    <w:qFormat/>
    <w:uiPriority w:val="99"/>
    <w:pPr>
      <w:ind w:firstLine="420" w:firstLineChars="200"/>
    </w:pPr>
  </w:style>
  <w:style w:type="character" w:customStyle="1" w:styleId="16">
    <w:name w:val="font01"/>
    <w:qFormat/>
    <w:uiPriority w:val="0"/>
    <w:rPr>
      <w:rFonts w:ascii="Times New Roman" w:hAnsi="Times New Roman"/>
      <w:color w:val="000000"/>
      <w:sz w:val="20"/>
      <w:u w:val="none"/>
    </w:rPr>
  </w:style>
  <w:style w:type="character" w:customStyle="1" w:styleId="17">
    <w:name w:val="font21"/>
    <w:qFormat/>
    <w:uiPriority w:val="0"/>
    <w:rPr>
      <w:rFonts w:ascii="MS Sans Serif" w:hAnsi="MS Sans Serif"/>
      <w:color w:val="000000"/>
      <w:sz w:val="20"/>
      <w:u w:val="none"/>
    </w:rPr>
  </w:style>
  <w:style w:type="character" w:customStyle="1" w:styleId="18">
    <w:name w:val="font11"/>
    <w:qFormat/>
    <w:uiPriority w:val="0"/>
    <w:rPr>
      <w:rFonts w:ascii="宋体" w:hAnsi="宋体" w:eastAsia="宋体"/>
      <w:color w:val="000000"/>
      <w:sz w:val="20"/>
      <w:u w:val="none"/>
    </w:rPr>
  </w:style>
  <w:style w:type="character" w:customStyle="1" w:styleId="19">
    <w:name w:val="批注框文本 Char"/>
    <w:basedOn w:val="11"/>
    <w:link w:val="6"/>
    <w:semiHidden/>
    <w:qFormat/>
    <w:uiPriority w:val="99"/>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13B638-D5AF-4949-8187-71A417D2E5A3}">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Pages>
  <Words>875</Words>
  <Characters>4990</Characters>
  <Lines>41</Lines>
  <Paragraphs>11</Paragraphs>
  <TotalTime>25</TotalTime>
  <ScaleCrop>false</ScaleCrop>
  <LinksUpToDate>false</LinksUpToDate>
  <CharactersWithSpaces>5854</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2023-02-08T05:46:00Z</dcterms:created>
  <dc:creator>微软用户</dc:creator>
  <cp:lastModifiedBy>Administrator</cp:lastModifiedBy>
  <dcterms:modified xsi:type="dcterms:W3CDTF">2024-12-12T07:35:40Z</dcterms:modified>
  <dc:title>医院后勤服务外包招标方案洽谈</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0B731AE2E24D40C3A72C6D280DB1F802</vt:lpwstr>
  </property>
</Properties>
</file>