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A379B0">
      <w:pPr>
        <w:jc w:val="center"/>
        <w:rPr>
          <w:rFonts w:asciiTheme="minorEastAsia" w:hAnsiTheme="minorEastAsia"/>
          <w:b/>
          <w:bCs/>
          <w:sz w:val="32"/>
          <w:szCs w:val="32"/>
        </w:rPr>
      </w:pPr>
      <w:r>
        <w:rPr>
          <w:rFonts w:hint="eastAsia" w:asciiTheme="minorEastAsia" w:hAnsiTheme="minorEastAsia"/>
          <w:b/>
          <w:bCs/>
          <w:sz w:val="32"/>
          <w:szCs w:val="32"/>
          <w:lang w:val="en-US" w:eastAsia="zh-CN"/>
        </w:rPr>
        <w:t>网络设备和机房服务器维保服务项目采购</w:t>
      </w:r>
      <w:r>
        <w:rPr>
          <w:rFonts w:hint="eastAsia" w:asciiTheme="minorEastAsia" w:hAnsiTheme="minorEastAsia"/>
          <w:b/>
          <w:bCs/>
          <w:sz w:val="32"/>
          <w:szCs w:val="32"/>
        </w:rPr>
        <w:t>市场调研公告</w:t>
      </w:r>
    </w:p>
    <w:p w14:paraId="67D36BAE">
      <w:pPr>
        <w:pStyle w:val="15"/>
        <w:rPr>
          <w:rFonts w:hint="eastAsia"/>
        </w:rPr>
      </w:pPr>
    </w:p>
    <w:p w14:paraId="5E800AF6">
      <w:pPr>
        <w:spacing w:line="360" w:lineRule="auto"/>
        <w:ind w:firstLine="480" w:firstLineChars="200"/>
        <w:rPr>
          <w:rFonts w:hint="eastAsia" w:ascii="宋体" w:hAnsi="宋体" w:cs="宋体"/>
          <w:kern w:val="0"/>
          <w:sz w:val="24"/>
        </w:rPr>
      </w:pPr>
      <w:r>
        <w:rPr>
          <w:rFonts w:hint="eastAsia" w:ascii="宋体" w:hAnsi="宋体" w:cs="宋体"/>
          <w:kern w:val="0"/>
          <w:sz w:val="24"/>
        </w:rPr>
        <w:t>丽水市中心医院因业务发展需要，需采购网络设备和机房服务器维保服务项目，现进行市场调研，欢迎有投标意向且符合资质要求的供应商前来参加。</w:t>
      </w:r>
    </w:p>
    <w:p w14:paraId="713157C8">
      <w:pPr>
        <w:keepNext w:val="0"/>
        <w:keepLines w:val="0"/>
        <w:pageBreakBefore w:val="0"/>
        <w:widowControl w:val="0"/>
        <w:numPr>
          <w:ilvl w:val="0"/>
          <w:numId w:val="2"/>
        </w:numPr>
        <w:kinsoku/>
        <w:wordWrap/>
        <w:overflowPunct/>
        <w:topLinePunct w:val="0"/>
        <w:autoSpaceDE/>
        <w:autoSpaceDN/>
        <w:bidi w:val="0"/>
        <w:adjustRightInd/>
        <w:snapToGrid/>
        <w:spacing w:line="480" w:lineRule="auto"/>
        <w:textAlignment w:val="auto"/>
        <w:rPr>
          <w:rFonts w:hint="eastAsia" w:asciiTheme="minorEastAsia" w:hAnsiTheme="minorEastAsia"/>
          <w:b/>
          <w:bCs/>
          <w:sz w:val="24"/>
          <w:szCs w:val="24"/>
        </w:rPr>
      </w:pPr>
      <w:r>
        <w:rPr>
          <w:rFonts w:hint="eastAsia" w:asciiTheme="minorEastAsia" w:hAnsiTheme="minorEastAsia"/>
          <w:b/>
          <w:bCs/>
          <w:sz w:val="24"/>
          <w:szCs w:val="24"/>
        </w:rPr>
        <w:t>项目</w:t>
      </w:r>
      <w:r>
        <w:rPr>
          <w:rFonts w:hint="eastAsia" w:asciiTheme="minorEastAsia" w:hAnsiTheme="minorEastAsia"/>
          <w:b/>
          <w:bCs/>
          <w:sz w:val="24"/>
          <w:szCs w:val="24"/>
          <w:lang w:val="en-US" w:eastAsia="zh-CN"/>
        </w:rPr>
        <w:t>内容</w:t>
      </w:r>
    </w:p>
    <w:tbl>
      <w:tblPr>
        <w:tblStyle w:val="2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2"/>
        <w:gridCol w:w="2895"/>
        <w:gridCol w:w="923"/>
        <w:gridCol w:w="1572"/>
        <w:gridCol w:w="2327"/>
      </w:tblGrid>
      <w:tr w14:paraId="0792A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802" w:type="dxa"/>
            <w:vAlign w:val="center"/>
          </w:tcPr>
          <w:p w14:paraId="0D017A6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sz w:val="24"/>
                <w:szCs w:val="24"/>
              </w:rPr>
            </w:pPr>
            <w:r>
              <w:rPr>
                <w:rFonts w:hint="eastAsia" w:asciiTheme="minorEastAsia" w:hAnsiTheme="minorEastAsia"/>
                <w:sz w:val="24"/>
                <w:szCs w:val="24"/>
              </w:rPr>
              <w:t>序号</w:t>
            </w:r>
          </w:p>
        </w:tc>
        <w:tc>
          <w:tcPr>
            <w:tcW w:w="2895" w:type="dxa"/>
            <w:vAlign w:val="center"/>
          </w:tcPr>
          <w:p w14:paraId="0CC0DCA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sz w:val="24"/>
                <w:szCs w:val="24"/>
              </w:rPr>
            </w:pPr>
            <w:r>
              <w:rPr>
                <w:rFonts w:hint="eastAsia" w:asciiTheme="minorEastAsia" w:hAnsiTheme="minorEastAsia"/>
                <w:sz w:val="24"/>
                <w:szCs w:val="24"/>
              </w:rPr>
              <w:t>项目名称</w:t>
            </w:r>
          </w:p>
        </w:tc>
        <w:tc>
          <w:tcPr>
            <w:tcW w:w="923" w:type="dxa"/>
            <w:vAlign w:val="center"/>
          </w:tcPr>
          <w:p w14:paraId="5DDD4DA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sz w:val="24"/>
                <w:szCs w:val="24"/>
              </w:rPr>
            </w:pPr>
            <w:r>
              <w:rPr>
                <w:rFonts w:hint="eastAsia" w:asciiTheme="minorEastAsia" w:hAnsiTheme="minorEastAsia"/>
                <w:sz w:val="24"/>
                <w:szCs w:val="24"/>
              </w:rPr>
              <w:t>单位</w:t>
            </w:r>
          </w:p>
        </w:tc>
        <w:tc>
          <w:tcPr>
            <w:tcW w:w="1572" w:type="dxa"/>
            <w:vAlign w:val="center"/>
          </w:tcPr>
          <w:p w14:paraId="0DF8E3D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sz w:val="24"/>
                <w:szCs w:val="24"/>
              </w:rPr>
            </w:pPr>
            <w:r>
              <w:rPr>
                <w:rFonts w:hint="eastAsia" w:asciiTheme="minorEastAsia" w:hAnsiTheme="minorEastAsia"/>
                <w:sz w:val="24"/>
                <w:szCs w:val="24"/>
              </w:rPr>
              <w:t>数量</w:t>
            </w:r>
          </w:p>
        </w:tc>
        <w:tc>
          <w:tcPr>
            <w:tcW w:w="2327" w:type="dxa"/>
            <w:vAlign w:val="center"/>
          </w:tcPr>
          <w:p w14:paraId="57B16D4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sz w:val="24"/>
                <w:szCs w:val="24"/>
              </w:rPr>
            </w:pPr>
            <w:r>
              <w:rPr>
                <w:rFonts w:hint="eastAsia" w:ascii="宋体" w:hAnsi="宋体"/>
                <w:sz w:val="24"/>
              </w:rPr>
              <w:t>参数</w:t>
            </w:r>
            <w:r>
              <w:rPr>
                <w:rFonts w:ascii="宋体" w:hAnsi="宋体"/>
                <w:sz w:val="24"/>
              </w:rPr>
              <w:t>要求</w:t>
            </w:r>
          </w:p>
        </w:tc>
      </w:tr>
      <w:tr w14:paraId="6300B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802" w:type="dxa"/>
            <w:vAlign w:val="center"/>
          </w:tcPr>
          <w:p w14:paraId="4ABF62D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sz w:val="24"/>
                <w:szCs w:val="24"/>
              </w:rPr>
            </w:pPr>
            <w:r>
              <w:rPr>
                <w:rFonts w:hint="eastAsia" w:asciiTheme="minorEastAsia" w:hAnsiTheme="minorEastAsia"/>
                <w:sz w:val="24"/>
                <w:szCs w:val="24"/>
              </w:rPr>
              <w:t>1</w:t>
            </w:r>
          </w:p>
        </w:tc>
        <w:tc>
          <w:tcPr>
            <w:tcW w:w="2895" w:type="dxa"/>
            <w:vAlign w:val="center"/>
          </w:tcPr>
          <w:p w14:paraId="2B40471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sz w:val="24"/>
                <w:szCs w:val="24"/>
                <w:lang w:val="en-US" w:eastAsia="zh-CN"/>
              </w:rPr>
            </w:pPr>
            <w:r>
              <w:rPr>
                <w:rFonts w:hint="default" w:asciiTheme="minorEastAsia" w:hAnsiTheme="minorEastAsia" w:eastAsiaTheme="minorEastAsia"/>
                <w:sz w:val="24"/>
                <w:szCs w:val="24"/>
                <w:lang w:val="en-US" w:eastAsia="zh-CN"/>
              </w:rPr>
              <w:t>网络设备和机房服务器维保服务项目</w:t>
            </w:r>
          </w:p>
        </w:tc>
        <w:tc>
          <w:tcPr>
            <w:tcW w:w="923" w:type="dxa"/>
            <w:vAlign w:val="center"/>
          </w:tcPr>
          <w:p w14:paraId="5BF548C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sz w:val="24"/>
                <w:szCs w:val="24"/>
              </w:rPr>
            </w:pPr>
            <w:r>
              <w:rPr>
                <w:rFonts w:hint="eastAsia" w:asciiTheme="minorEastAsia" w:hAnsiTheme="minorEastAsia"/>
                <w:sz w:val="24"/>
                <w:szCs w:val="24"/>
              </w:rPr>
              <w:t>项</w:t>
            </w:r>
          </w:p>
        </w:tc>
        <w:tc>
          <w:tcPr>
            <w:tcW w:w="1572" w:type="dxa"/>
            <w:vAlign w:val="center"/>
          </w:tcPr>
          <w:p w14:paraId="6BF4DB7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sz w:val="24"/>
                <w:szCs w:val="24"/>
              </w:rPr>
            </w:pPr>
            <w:r>
              <w:rPr>
                <w:rFonts w:hint="eastAsia" w:asciiTheme="minorEastAsia" w:hAnsiTheme="minorEastAsia"/>
                <w:sz w:val="24"/>
                <w:szCs w:val="24"/>
              </w:rPr>
              <w:t>1</w:t>
            </w:r>
          </w:p>
        </w:tc>
        <w:tc>
          <w:tcPr>
            <w:tcW w:w="2327" w:type="dxa"/>
            <w:vAlign w:val="center"/>
          </w:tcPr>
          <w:p w14:paraId="13EE9C2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sz w:val="24"/>
                <w:szCs w:val="24"/>
              </w:rPr>
            </w:pPr>
            <w:r>
              <w:rPr>
                <w:rFonts w:hint="eastAsia" w:ascii="宋体" w:hAnsi="宋体" w:cs="宋体"/>
                <w:kern w:val="0"/>
                <w:sz w:val="24"/>
                <w:highlight w:val="none"/>
                <w:lang w:val="en-US" w:eastAsia="zh-CN"/>
              </w:rPr>
              <w:t>见附件一</w:t>
            </w:r>
          </w:p>
        </w:tc>
      </w:tr>
    </w:tbl>
    <w:p w14:paraId="4495353E">
      <w:pPr>
        <w:keepNext w:val="0"/>
        <w:keepLines w:val="0"/>
        <w:pageBreakBefore w:val="0"/>
        <w:widowControl w:val="0"/>
        <w:numPr>
          <w:ilvl w:val="0"/>
          <w:numId w:val="2"/>
        </w:numPr>
        <w:kinsoku/>
        <w:wordWrap/>
        <w:overflowPunct/>
        <w:topLinePunct w:val="0"/>
        <w:autoSpaceDE/>
        <w:autoSpaceDN/>
        <w:bidi w:val="0"/>
        <w:adjustRightInd/>
        <w:snapToGrid/>
        <w:spacing w:line="480" w:lineRule="auto"/>
        <w:textAlignment w:val="auto"/>
        <w:rPr>
          <w:rFonts w:hint="eastAsia" w:cs="微软雅黑" w:asciiTheme="minorEastAsia" w:hAnsiTheme="minorEastAsia"/>
          <w:b/>
          <w:bCs/>
          <w:sz w:val="28"/>
          <w:szCs w:val="28"/>
        </w:rPr>
      </w:pPr>
      <w:r>
        <w:rPr>
          <w:rFonts w:hint="eastAsia" w:ascii="宋体" w:hAnsi="宋体" w:eastAsia="宋体" w:cs="宋体"/>
          <w:b/>
          <w:sz w:val="24"/>
          <w:szCs w:val="24"/>
        </w:rPr>
        <w:t>请有意向的公司按以下要求制作投标资料（一正一副）</w:t>
      </w:r>
    </w:p>
    <w:p w14:paraId="71921710">
      <w:pPr>
        <w:pStyle w:val="19"/>
        <w:shd w:val="clear" w:color="auto" w:fill="FFFFFF"/>
        <w:spacing w:before="0" w:beforeAutospacing="0" w:after="0" w:afterAutospacing="0" w:line="360" w:lineRule="auto"/>
        <w:ind w:left="375" w:firstLine="120" w:firstLineChars="50"/>
        <w:jc w:val="both"/>
        <w:rPr>
          <w:rFonts w:hint="eastAsia" w:ascii="宋体" w:hAnsi="宋体" w:eastAsia="宋体" w:cs="宋体"/>
          <w:sz w:val="24"/>
          <w:szCs w:val="24"/>
          <w:highlight w:val="none"/>
        </w:rPr>
      </w:pPr>
      <w:r>
        <w:rPr>
          <w:rStyle w:val="37"/>
          <w:rFonts w:hint="eastAsia" w:ascii="宋体" w:hAnsi="宋体" w:eastAsia="宋体" w:cs="宋体"/>
          <w:kern w:val="2"/>
          <w:sz w:val="24"/>
          <w:szCs w:val="24"/>
        </w:rPr>
        <w:t>1</w:t>
      </w:r>
      <w:r>
        <w:rPr>
          <w:rStyle w:val="37"/>
          <w:rFonts w:hint="eastAsia" w:cs="宋体"/>
          <w:kern w:val="2"/>
          <w:sz w:val="24"/>
          <w:szCs w:val="24"/>
          <w:lang w:eastAsia="zh-CN"/>
        </w:rPr>
        <w:t>、</w:t>
      </w:r>
      <w:r>
        <w:rPr>
          <w:rFonts w:hint="eastAsia"/>
        </w:rPr>
        <w:t>单位营</w:t>
      </w:r>
      <w:r>
        <w:rPr>
          <w:rFonts w:hint="eastAsia"/>
          <w:highlight w:val="none"/>
        </w:rPr>
        <w:t>业执照复印件、法人身份证复印件</w:t>
      </w:r>
    </w:p>
    <w:p w14:paraId="0C8BC4EA">
      <w:pPr>
        <w:pStyle w:val="19"/>
        <w:shd w:val="clear" w:color="auto" w:fill="FFFFFF"/>
        <w:spacing w:before="0" w:beforeAutospacing="0" w:after="0" w:afterAutospacing="0" w:line="360" w:lineRule="auto"/>
        <w:ind w:left="375" w:firstLine="120" w:firstLineChars="5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2</w:t>
      </w:r>
      <w:r>
        <w:rPr>
          <w:rFonts w:hint="eastAsia" w:cs="宋体"/>
          <w:sz w:val="24"/>
          <w:szCs w:val="24"/>
          <w:highlight w:val="none"/>
          <w:lang w:eastAsia="zh-CN"/>
        </w:rPr>
        <w:t>、</w:t>
      </w:r>
      <w:r>
        <w:rPr>
          <w:rFonts w:hint="default"/>
          <w:highlight w:val="none"/>
          <w:lang w:val="en-US" w:eastAsia="zh-CN"/>
        </w:rPr>
        <w:t>非法人本人参会的，须提供委托书原件及受委托人身份证复印件</w:t>
      </w:r>
    </w:p>
    <w:p w14:paraId="690E0179">
      <w:pPr>
        <w:pStyle w:val="19"/>
        <w:shd w:val="clear" w:color="auto" w:fill="FFFFFF"/>
        <w:spacing w:before="0" w:beforeAutospacing="0" w:after="0" w:afterAutospacing="0" w:line="360" w:lineRule="auto"/>
        <w:ind w:left="375" w:firstLine="120" w:firstLineChars="5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3</w:t>
      </w:r>
      <w:r>
        <w:rPr>
          <w:rFonts w:hint="eastAsia" w:cs="宋体"/>
          <w:sz w:val="24"/>
          <w:szCs w:val="24"/>
          <w:highlight w:val="none"/>
          <w:lang w:eastAsia="zh-CN"/>
        </w:rPr>
        <w:t>、</w:t>
      </w:r>
      <w:r>
        <w:rPr>
          <w:rFonts w:hint="eastAsia"/>
          <w:highlight w:val="none"/>
        </w:rPr>
        <w:t>产品</w:t>
      </w:r>
      <w:r>
        <w:rPr>
          <w:highlight w:val="none"/>
        </w:rPr>
        <w:t>介绍</w:t>
      </w:r>
    </w:p>
    <w:p w14:paraId="595B6F33">
      <w:pPr>
        <w:pStyle w:val="19"/>
        <w:shd w:val="clear" w:color="auto" w:fill="FFFFFF"/>
        <w:spacing w:before="0" w:beforeAutospacing="0" w:after="0" w:afterAutospacing="0" w:line="360" w:lineRule="auto"/>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4</w:t>
      </w:r>
      <w:r>
        <w:rPr>
          <w:rFonts w:hint="eastAsia" w:cs="宋体"/>
          <w:sz w:val="24"/>
          <w:szCs w:val="24"/>
          <w:highlight w:val="none"/>
          <w:lang w:eastAsia="zh-CN"/>
        </w:rPr>
        <w:t>、</w:t>
      </w:r>
      <w:r>
        <w:rPr>
          <w:rFonts w:hint="eastAsia" w:ascii="宋体" w:hAnsi="宋体" w:eastAsia="宋体" w:cs="宋体"/>
          <w:sz w:val="24"/>
          <w:szCs w:val="24"/>
          <w:highlight w:val="none"/>
        </w:rPr>
        <w:t>投标单位认为需要提供的其他材料（包括服务承诺和经营业绩以及相关证明材料等）</w:t>
      </w:r>
    </w:p>
    <w:p w14:paraId="23C5D51D">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报价单</w:t>
      </w:r>
    </w:p>
    <w:p w14:paraId="778D8E5A">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以上所有资料均须加盖公司红章，装订成册密封包装，包装袋上注明联系人信息。请有意向的公司于202</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年</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月</w:t>
      </w:r>
      <w:r>
        <w:rPr>
          <w:rFonts w:hint="eastAsia" w:ascii="宋体" w:hAnsi="宋体" w:eastAsia="宋体" w:cs="宋体"/>
          <w:sz w:val="24"/>
          <w:szCs w:val="24"/>
          <w:highlight w:val="none"/>
          <w:lang w:val="en-US" w:eastAsia="zh-CN"/>
        </w:rPr>
        <w:t>11</w:t>
      </w:r>
      <w:r>
        <w:rPr>
          <w:rFonts w:hint="eastAsia" w:ascii="宋体" w:hAnsi="宋体" w:eastAsia="宋体" w:cs="宋体"/>
          <w:sz w:val="24"/>
          <w:szCs w:val="24"/>
          <w:highlight w:val="none"/>
        </w:rPr>
        <w:t>日17：00 前将调研资料邮寄或送至丽水市中心医院采购中心。</w:t>
      </w:r>
    </w:p>
    <w:p w14:paraId="31FD6CA7">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洽谈时间另行通知。</w:t>
      </w:r>
    </w:p>
    <w:p w14:paraId="623DFEC2">
      <w:pPr>
        <w:spacing w:line="360" w:lineRule="auto"/>
        <w:ind w:firstLine="480" w:firstLineChars="200"/>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商务咨询：采购中心 苏老师 电话:0578-22854</w:t>
      </w:r>
      <w:r>
        <w:rPr>
          <w:rFonts w:hint="eastAsia" w:ascii="宋体" w:hAnsi="宋体" w:eastAsia="宋体" w:cs="宋体"/>
          <w:sz w:val="24"/>
          <w:szCs w:val="24"/>
          <w:highlight w:val="none"/>
          <w:lang w:val="en-US" w:eastAsia="zh-CN"/>
        </w:rPr>
        <w:t>70</w:t>
      </w:r>
    </w:p>
    <w:p w14:paraId="7F634C3D">
      <w:pPr>
        <w:pStyle w:val="15"/>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b w:val="0"/>
          <w:bCs/>
          <w:sz w:val="24"/>
          <w:szCs w:val="24"/>
          <w:highlight w:val="none"/>
        </w:rPr>
        <w:t xml:space="preserve">技术咨询：信息中心 </w:t>
      </w:r>
      <w:r>
        <w:rPr>
          <w:rFonts w:hint="eastAsia" w:ascii="宋体" w:hAnsi="宋体" w:eastAsia="宋体" w:cs="宋体"/>
          <w:b w:val="0"/>
          <w:bCs/>
          <w:sz w:val="24"/>
          <w:szCs w:val="24"/>
          <w:highlight w:val="none"/>
          <w:lang w:val="en-US" w:eastAsia="zh-CN"/>
        </w:rPr>
        <w:t>施</w:t>
      </w:r>
      <w:r>
        <w:rPr>
          <w:rFonts w:hint="eastAsia" w:ascii="宋体" w:hAnsi="宋体" w:eastAsia="宋体" w:cs="宋体"/>
          <w:b w:val="0"/>
          <w:sz w:val="24"/>
          <w:szCs w:val="24"/>
          <w:highlight w:val="none"/>
        </w:rPr>
        <w:t>老师 电话:0578-2285458</w:t>
      </w:r>
    </w:p>
    <w:p w14:paraId="1F70B25A">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邮编：323000</w:t>
      </w:r>
    </w:p>
    <w:p w14:paraId="4176F9A4">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联系地址：浙江省丽水市括苍路289号丽水市中心医院采购中心</w:t>
      </w:r>
    </w:p>
    <w:p w14:paraId="0C53E558">
      <w:pPr>
        <w:spacing w:line="360" w:lineRule="auto"/>
        <w:ind w:firstLine="5040" w:firstLineChars="21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202</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年</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 xml:space="preserve">月 </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日</w:t>
      </w:r>
    </w:p>
    <w:p w14:paraId="2392B8F1">
      <w:pPr>
        <w:pStyle w:val="12"/>
        <w:rPr>
          <w:rFonts w:hint="eastAsia" w:ascii="宋体" w:hAnsi="宋体" w:eastAsia="宋体" w:cs="宋体"/>
          <w:sz w:val="24"/>
          <w:szCs w:val="24"/>
        </w:rPr>
      </w:pPr>
    </w:p>
    <w:p w14:paraId="42511AD2">
      <w:pPr>
        <w:pStyle w:val="12"/>
        <w:rPr>
          <w:rFonts w:hint="eastAsia" w:ascii="宋体" w:hAnsi="宋体" w:eastAsia="宋体" w:cs="宋体"/>
          <w:sz w:val="24"/>
          <w:szCs w:val="24"/>
        </w:rPr>
      </w:pPr>
    </w:p>
    <w:p w14:paraId="266DC913">
      <w:pPr>
        <w:pStyle w:val="12"/>
        <w:rPr>
          <w:rFonts w:hint="eastAsia" w:ascii="宋体" w:hAnsi="宋体" w:eastAsia="宋体" w:cs="宋体"/>
          <w:sz w:val="24"/>
          <w:szCs w:val="24"/>
        </w:rPr>
      </w:pPr>
    </w:p>
    <w:p w14:paraId="004B7FB5">
      <w:pPr>
        <w:pStyle w:val="12"/>
        <w:rPr>
          <w:rFonts w:hint="eastAsia" w:ascii="宋体" w:hAnsi="宋体" w:eastAsia="宋体" w:cs="宋体"/>
          <w:sz w:val="24"/>
          <w:szCs w:val="24"/>
        </w:rPr>
      </w:pPr>
    </w:p>
    <w:p w14:paraId="25B7F6B7">
      <w:pPr>
        <w:pStyle w:val="12"/>
        <w:rPr>
          <w:rFonts w:hint="eastAsia" w:ascii="宋体" w:hAnsi="宋体" w:eastAsia="宋体" w:cs="宋体"/>
          <w:sz w:val="24"/>
          <w:szCs w:val="24"/>
        </w:rPr>
      </w:pPr>
    </w:p>
    <w:p w14:paraId="7D20B8A7">
      <w:pPr>
        <w:pStyle w:val="12"/>
        <w:rPr>
          <w:rFonts w:hint="eastAsia" w:ascii="宋体" w:hAnsi="宋体" w:eastAsia="宋体" w:cs="宋体"/>
          <w:sz w:val="24"/>
          <w:szCs w:val="24"/>
        </w:rPr>
      </w:pPr>
    </w:p>
    <w:p w14:paraId="6E1A64A3">
      <w:pPr>
        <w:pStyle w:val="12"/>
        <w:rPr>
          <w:rFonts w:hint="eastAsia" w:ascii="Microsoft Sans Serif" w:hAnsi="Microsoft Sans Serif" w:eastAsia="微软雅黑"/>
          <w:color w:val="000000"/>
          <w:sz w:val="24"/>
          <w:lang w:val="en-US" w:eastAsia="zh-CN"/>
        </w:rPr>
      </w:pPr>
      <w:r>
        <w:rPr>
          <w:rStyle w:val="40"/>
          <w:rFonts w:hint="eastAsia"/>
        </w:rPr>
        <w:t>附件一</w:t>
      </w:r>
      <w:r>
        <w:rPr>
          <w:rStyle w:val="40"/>
          <w:rFonts w:hint="eastAsia"/>
          <w:lang w:val="en-US" w:eastAsia="zh-CN"/>
        </w:rPr>
        <w:t xml:space="preserve"> </w:t>
      </w:r>
      <w:r>
        <w:rPr>
          <w:rFonts w:hint="eastAsia" w:ascii="Microsoft Sans Serif" w:hAnsi="Microsoft Sans Serif" w:eastAsia="微软雅黑"/>
          <w:color w:val="000000"/>
          <w:sz w:val="24"/>
          <w:lang w:val="en-US" w:eastAsia="zh-CN"/>
        </w:rPr>
        <w:t xml:space="preserve">    </w:t>
      </w:r>
    </w:p>
    <w:p w14:paraId="0C4E8702">
      <w:pPr>
        <w:pStyle w:val="12"/>
        <w:rPr>
          <w:rFonts w:hint="eastAsia" w:ascii="仿宋" w:hAnsi="仿宋" w:eastAsia="仿宋" w:cs="仿宋"/>
          <w:b/>
          <w:bCs w:val="0"/>
          <w:sz w:val="28"/>
          <w:szCs w:val="28"/>
        </w:rPr>
      </w:pPr>
      <w:r>
        <w:rPr>
          <w:rFonts w:hint="eastAsia" w:ascii="仿宋" w:hAnsi="仿宋" w:eastAsia="仿宋" w:cs="仿宋"/>
          <w:b/>
          <w:bCs w:val="0"/>
          <w:sz w:val="28"/>
          <w:szCs w:val="28"/>
        </w:rPr>
        <w:t>一、采购内容</w:t>
      </w:r>
    </w:p>
    <w:tbl>
      <w:tblPr>
        <w:tblStyle w:val="2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1"/>
        <w:gridCol w:w="4482"/>
        <w:gridCol w:w="1614"/>
        <w:gridCol w:w="1542"/>
      </w:tblGrid>
      <w:tr w14:paraId="217C6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4" w:hRule="atLeast"/>
          <w:jc w:val="center"/>
        </w:trPr>
        <w:tc>
          <w:tcPr>
            <w:tcW w:w="517" w:type="pct"/>
            <w:tcBorders>
              <w:top w:val="single" w:color="auto" w:sz="4" w:space="0"/>
              <w:left w:val="single" w:color="auto" w:sz="4" w:space="0"/>
              <w:bottom w:val="single" w:color="auto" w:sz="4" w:space="0"/>
              <w:right w:val="single" w:color="auto" w:sz="4" w:space="0"/>
            </w:tcBorders>
            <w:noWrap w:val="0"/>
            <w:vAlign w:val="center"/>
          </w:tcPr>
          <w:p w14:paraId="135842D1">
            <w:pPr>
              <w:pStyle w:val="12"/>
              <w:rPr>
                <w:rFonts w:hint="eastAsia" w:ascii="仿宋" w:hAnsi="仿宋" w:eastAsia="仿宋" w:cs="仿宋"/>
                <w:b/>
                <w:bCs/>
                <w:sz w:val="28"/>
                <w:szCs w:val="28"/>
              </w:rPr>
            </w:pPr>
            <w:r>
              <w:rPr>
                <w:rFonts w:hint="eastAsia" w:ascii="仿宋" w:hAnsi="仿宋" w:eastAsia="仿宋" w:cs="仿宋"/>
                <w:b/>
                <w:bCs/>
                <w:sz w:val="28"/>
                <w:szCs w:val="28"/>
              </w:rPr>
              <w:t>序号</w:t>
            </w:r>
          </w:p>
        </w:tc>
        <w:tc>
          <w:tcPr>
            <w:tcW w:w="2630" w:type="pct"/>
            <w:tcBorders>
              <w:top w:val="single" w:color="auto" w:sz="4" w:space="0"/>
              <w:left w:val="nil"/>
              <w:bottom w:val="single" w:color="auto" w:sz="4" w:space="0"/>
              <w:right w:val="single" w:color="auto" w:sz="4" w:space="0"/>
            </w:tcBorders>
            <w:noWrap w:val="0"/>
            <w:vAlign w:val="center"/>
          </w:tcPr>
          <w:p w14:paraId="6B8E8F41">
            <w:pPr>
              <w:pStyle w:val="12"/>
              <w:rPr>
                <w:rFonts w:hint="eastAsia" w:ascii="仿宋" w:hAnsi="仿宋" w:eastAsia="仿宋" w:cs="仿宋"/>
                <w:b/>
                <w:bCs/>
                <w:sz w:val="28"/>
                <w:szCs w:val="28"/>
              </w:rPr>
            </w:pPr>
            <w:r>
              <w:rPr>
                <w:rFonts w:hint="eastAsia" w:ascii="仿宋" w:hAnsi="仿宋" w:eastAsia="仿宋" w:cs="仿宋"/>
                <w:b/>
                <w:bCs/>
                <w:sz w:val="28"/>
                <w:szCs w:val="28"/>
              </w:rPr>
              <w:t>采购内容</w:t>
            </w:r>
          </w:p>
        </w:tc>
        <w:tc>
          <w:tcPr>
            <w:tcW w:w="947" w:type="pct"/>
            <w:tcBorders>
              <w:top w:val="single" w:color="auto" w:sz="4" w:space="0"/>
              <w:left w:val="nil"/>
              <w:bottom w:val="single" w:color="auto" w:sz="4" w:space="0"/>
              <w:right w:val="single" w:color="auto" w:sz="4" w:space="0"/>
            </w:tcBorders>
            <w:noWrap w:val="0"/>
            <w:vAlign w:val="center"/>
          </w:tcPr>
          <w:p w14:paraId="717FFB68">
            <w:pPr>
              <w:pStyle w:val="12"/>
              <w:rPr>
                <w:rFonts w:hint="eastAsia" w:ascii="仿宋" w:hAnsi="仿宋" w:eastAsia="仿宋" w:cs="仿宋"/>
                <w:b/>
                <w:bCs/>
                <w:sz w:val="28"/>
                <w:szCs w:val="28"/>
              </w:rPr>
            </w:pPr>
            <w:r>
              <w:rPr>
                <w:rFonts w:hint="eastAsia" w:ascii="仿宋" w:hAnsi="仿宋" w:eastAsia="仿宋" w:cs="仿宋"/>
                <w:b/>
                <w:bCs/>
                <w:sz w:val="28"/>
                <w:szCs w:val="28"/>
              </w:rPr>
              <w:t>单位</w:t>
            </w:r>
          </w:p>
        </w:tc>
        <w:tc>
          <w:tcPr>
            <w:tcW w:w="905" w:type="pct"/>
            <w:tcBorders>
              <w:top w:val="single" w:color="auto" w:sz="4" w:space="0"/>
              <w:left w:val="nil"/>
              <w:bottom w:val="single" w:color="auto" w:sz="4" w:space="0"/>
              <w:right w:val="single" w:color="auto" w:sz="4" w:space="0"/>
            </w:tcBorders>
            <w:noWrap w:val="0"/>
            <w:vAlign w:val="center"/>
          </w:tcPr>
          <w:p w14:paraId="132C2533">
            <w:pPr>
              <w:pStyle w:val="12"/>
              <w:rPr>
                <w:rFonts w:hint="eastAsia" w:ascii="仿宋" w:hAnsi="仿宋" w:eastAsia="仿宋" w:cs="仿宋"/>
                <w:b/>
                <w:bCs/>
                <w:sz w:val="28"/>
                <w:szCs w:val="28"/>
              </w:rPr>
            </w:pPr>
            <w:r>
              <w:rPr>
                <w:rFonts w:hint="eastAsia" w:ascii="仿宋" w:hAnsi="仿宋" w:eastAsia="仿宋" w:cs="仿宋"/>
                <w:b/>
                <w:bCs/>
                <w:sz w:val="28"/>
                <w:szCs w:val="28"/>
              </w:rPr>
              <w:t>数量</w:t>
            </w:r>
          </w:p>
        </w:tc>
      </w:tr>
      <w:tr w14:paraId="3A2FB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517" w:type="pct"/>
            <w:tcBorders>
              <w:top w:val="single" w:color="auto" w:sz="4" w:space="0"/>
              <w:left w:val="single" w:color="auto" w:sz="4" w:space="0"/>
              <w:bottom w:val="single" w:color="auto" w:sz="4" w:space="0"/>
              <w:right w:val="single" w:color="auto" w:sz="4" w:space="0"/>
            </w:tcBorders>
            <w:noWrap w:val="0"/>
            <w:vAlign w:val="center"/>
          </w:tcPr>
          <w:p w14:paraId="22F20410">
            <w:pPr>
              <w:pStyle w:val="12"/>
              <w:rPr>
                <w:rFonts w:hint="eastAsia" w:ascii="仿宋" w:hAnsi="仿宋" w:eastAsia="仿宋" w:cs="仿宋"/>
                <w:sz w:val="28"/>
                <w:szCs w:val="28"/>
              </w:rPr>
            </w:pPr>
            <w:r>
              <w:rPr>
                <w:rFonts w:hint="eastAsia" w:ascii="仿宋" w:hAnsi="仿宋" w:eastAsia="仿宋" w:cs="仿宋"/>
                <w:sz w:val="28"/>
                <w:szCs w:val="28"/>
              </w:rPr>
              <w:t>1</w:t>
            </w:r>
          </w:p>
        </w:tc>
        <w:tc>
          <w:tcPr>
            <w:tcW w:w="2630" w:type="pct"/>
            <w:tcBorders>
              <w:top w:val="single" w:color="auto" w:sz="4" w:space="0"/>
              <w:left w:val="nil"/>
              <w:bottom w:val="single" w:color="auto" w:sz="4" w:space="0"/>
              <w:right w:val="single" w:color="auto" w:sz="4" w:space="0"/>
            </w:tcBorders>
            <w:noWrap w:val="0"/>
            <w:vAlign w:val="center"/>
          </w:tcPr>
          <w:p w14:paraId="14B01DE3">
            <w:pPr>
              <w:pStyle w:val="12"/>
              <w:rPr>
                <w:rFonts w:hint="eastAsia" w:ascii="仿宋" w:hAnsi="仿宋" w:eastAsia="仿宋" w:cs="仿宋"/>
                <w:b w:val="0"/>
                <w:bCs w:val="0"/>
                <w:sz w:val="28"/>
                <w:szCs w:val="28"/>
                <w:lang w:val="en-US" w:eastAsia="zh-CN"/>
              </w:rPr>
            </w:pPr>
            <w:r>
              <w:rPr>
                <w:rFonts w:hint="eastAsia" w:ascii="仿宋" w:hAnsi="仿宋" w:eastAsia="仿宋" w:cs="仿宋"/>
                <w:sz w:val="28"/>
                <w:szCs w:val="28"/>
              </w:rPr>
              <w:t>网络、服务器、存储维保项目</w:t>
            </w:r>
          </w:p>
        </w:tc>
        <w:tc>
          <w:tcPr>
            <w:tcW w:w="947" w:type="pct"/>
            <w:tcBorders>
              <w:top w:val="single" w:color="auto" w:sz="4" w:space="0"/>
              <w:left w:val="nil"/>
              <w:bottom w:val="single" w:color="auto" w:sz="4" w:space="0"/>
              <w:right w:val="single" w:color="auto" w:sz="4" w:space="0"/>
            </w:tcBorders>
            <w:noWrap w:val="0"/>
            <w:vAlign w:val="center"/>
          </w:tcPr>
          <w:p w14:paraId="5B3C29AF">
            <w:pPr>
              <w:pStyle w:val="12"/>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套</w:t>
            </w:r>
          </w:p>
        </w:tc>
        <w:tc>
          <w:tcPr>
            <w:tcW w:w="905" w:type="pct"/>
            <w:tcBorders>
              <w:top w:val="single" w:color="auto" w:sz="4" w:space="0"/>
              <w:left w:val="nil"/>
              <w:bottom w:val="single" w:color="auto" w:sz="4" w:space="0"/>
              <w:right w:val="single" w:color="auto" w:sz="4" w:space="0"/>
            </w:tcBorders>
            <w:noWrap w:val="0"/>
            <w:vAlign w:val="center"/>
          </w:tcPr>
          <w:p w14:paraId="0FDDAD62">
            <w:pPr>
              <w:pStyle w:val="12"/>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w:t>
            </w:r>
          </w:p>
        </w:tc>
      </w:tr>
    </w:tbl>
    <w:p w14:paraId="19442262">
      <w:pPr>
        <w:pStyle w:val="14"/>
        <w:numPr>
          <w:ilvl w:val="0"/>
          <w:numId w:val="0"/>
        </w:numPr>
        <w:spacing w:beforeLines="0" w:after="156" w:afterLines="0" w:line="360" w:lineRule="auto"/>
        <w:ind w:leftChars="0"/>
        <w:outlineLvl w:val="0"/>
        <w:rPr>
          <w:rFonts w:hint="eastAsia" w:ascii="仿宋" w:hAnsi="仿宋" w:eastAsia="仿宋" w:cs="仿宋"/>
          <w:b/>
          <w:sz w:val="28"/>
          <w:szCs w:val="28"/>
        </w:rPr>
      </w:pPr>
      <w:r>
        <w:rPr>
          <w:rFonts w:hint="eastAsia" w:ascii="仿宋" w:hAnsi="仿宋" w:eastAsia="仿宋" w:cs="仿宋"/>
          <w:b/>
          <w:sz w:val="28"/>
          <w:szCs w:val="28"/>
          <w:lang w:val="en-US" w:eastAsia="zh-CN"/>
        </w:rPr>
        <w:t>二、</w:t>
      </w:r>
      <w:r>
        <w:rPr>
          <w:rFonts w:hint="eastAsia" w:ascii="仿宋" w:hAnsi="仿宋" w:eastAsia="仿宋" w:cs="仿宋"/>
          <w:b/>
          <w:sz w:val="28"/>
          <w:szCs w:val="28"/>
        </w:rPr>
        <w:t>维保设备清单</w:t>
      </w:r>
    </w:p>
    <w:tbl>
      <w:tblPr>
        <w:tblStyle w:val="20"/>
        <w:tblW w:w="85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
        <w:gridCol w:w="1965"/>
        <w:gridCol w:w="1687"/>
        <w:gridCol w:w="3960"/>
      </w:tblGrid>
      <w:tr w14:paraId="70E20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blHeader/>
        </w:trPr>
        <w:tc>
          <w:tcPr>
            <w:tcW w:w="901" w:type="dxa"/>
            <w:shd w:val="clear" w:color="000000" w:fill="FFFFFF"/>
            <w:noWrap/>
            <w:vAlign w:val="center"/>
          </w:tcPr>
          <w:p w14:paraId="103585C3">
            <w:pPr>
              <w:widowControl/>
              <w:spacing w:line="360" w:lineRule="auto"/>
              <w:jc w:val="center"/>
              <w:rPr>
                <w:rFonts w:hint="eastAsia" w:ascii="仿宋" w:hAnsi="仿宋" w:eastAsia="仿宋" w:cs="仿宋"/>
                <w:b/>
                <w:bCs/>
                <w:color w:val="000000"/>
                <w:kern w:val="0"/>
                <w:sz w:val="28"/>
                <w:szCs w:val="28"/>
              </w:rPr>
            </w:pPr>
            <w:r>
              <w:rPr>
                <w:rFonts w:hint="eastAsia" w:ascii="仿宋" w:hAnsi="仿宋" w:eastAsia="仿宋" w:cs="仿宋"/>
                <w:b/>
                <w:bCs/>
                <w:color w:val="000000"/>
                <w:kern w:val="0"/>
                <w:sz w:val="28"/>
                <w:szCs w:val="28"/>
              </w:rPr>
              <w:t>序号</w:t>
            </w:r>
          </w:p>
        </w:tc>
        <w:tc>
          <w:tcPr>
            <w:tcW w:w="1965" w:type="dxa"/>
            <w:shd w:val="clear" w:color="000000" w:fill="FFFFFF"/>
            <w:noWrap/>
            <w:vAlign w:val="center"/>
          </w:tcPr>
          <w:p w14:paraId="54BE527C">
            <w:pPr>
              <w:widowControl/>
              <w:spacing w:line="360" w:lineRule="auto"/>
              <w:jc w:val="center"/>
              <w:rPr>
                <w:rFonts w:hint="eastAsia" w:ascii="仿宋" w:hAnsi="仿宋" w:eastAsia="仿宋" w:cs="仿宋"/>
                <w:b/>
                <w:bCs/>
                <w:color w:val="000000"/>
                <w:kern w:val="0"/>
                <w:sz w:val="28"/>
                <w:szCs w:val="28"/>
                <w:lang w:val="en-US" w:eastAsia="zh-CN"/>
              </w:rPr>
            </w:pPr>
            <w:r>
              <w:rPr>
                <w:rFonts w:hint="eastAsia" w:ascii="仿宋" w:hAnsi="仿宋" w:eastAsia="仿宋" w:cs="仿宋"/>
                <w:b/>
                <w:bCs/>
                <w:color w:val="000000"/>
                <w:kern w:val="0"/>
                <w:sz w:val="28"/>
                <w:szCs w:val="28"/>
              </w:rPr>
              <w:t>设备</w:t>
            </w:r>
            <w:r>
              <w:rPr>
                <w:rFonts w:hint="eastAsia" w:ascii="仿宋" w:hAnsi="仿宋" w:eastAsia="仿宋" w:cs="仿宋"/>
                <w:b/>
                <w:bCs/>
                <w:color w:val="000000"/>
                <w:kern w:val="0"/>
                <w:sz w:val="28"/>
                <w:szCs w:val="28"/>
                <w:lang w:val="en-US" w:eastAsia="zh-CN"/>
              </w:rPr>
              <w:t>类型</w:t>
            </w:r>
          </w:p>
        </w:tc>
        <w:tc>
          <w:tcPr>
            <w:tcW w:w="1687" w:type="dxa"/>
            <w:shd w:val="clear" w:color="000000" w:fill="FFFFFF"/>
            <w:noWrap/>
            <w:vAlign w:val="center"/>
          </w:tcPr>
          <w:p w14:paraId="7E405226">
            <w:pPr>
              <w:widowControl/>
              <w:spacing w:line="360" w:lineRule="auto"/>
              <w:jc w:val="center"/>
              <w:rPr>
                <w:rFonts w:hint="eastAsia" w:ascii="仿宋" w:hAnsi="仿宋" w:eastAsia="仿宋" w:cs="仿宋"/>
                <w:b/>
                <w:bCs/>
                <w:color w:val="000000"/>
                <w:kern w:val="0"/>
                <w:sz w:val="28"/>
                <w:szCs w:val="28"/>
                <w:lang w:val="en-US" w:eastAsia="zh-CN"/>
              </w:rPr>
            </w:pPr>
            <w:r>
              <w:rPr>
                <w:rFonts w:hint="eastAsia" w:ascii="仿宋" w:hAnsi="仿宋" w:eastAsia="仿宋" w:cs="仿宋"/>
                <w:b/>
                <w:bCs/>
                <w:color w:val="000000"/>
                <w:kern w:val="0"/>
                <w:sz w:val="28"/>
                <w:szCs w:val="28"/>
                <w:lang w:val="en-US" w:eastAsia="zh-CN"/>
              </w:rPr>
              <w:t>数量（台）</w:t>
            </w:r>
          </w:p>
        </w:tc>
        <w:tc>
          <w:tcPr>
            <w:tcW w:w="3960" w:type="dxa"/>
            <w:shd w:val="clear" w:color="000000" w:fill="FFFFFF"/>
            <w:noWrap/>
            <w:vAlign w:val="center"/>
          </w:tcPr>
          <w:p w14:paraId="7920FFDD">
            <w:pPr>
              <w:widowControl/>
              <w:spacing w:line="360" w:lineRule="auto"/>
              <w:jc w:val="center"/>
              <w:rPr>
                <w:rFonts w:hint="eastAsia" w:ascii="仿宋" w:hAnsi="仿宋" w:eastAsia="仿宋" w:cs="仿宋"/>
                <w:b/>
                <w:bCs/>
                <w:color w:val="000000"/>
                <w:kern w:val="0"/>
                <w:sz w:val="28"/>
                <w:szCs w:val="28"/>
                <w:lang w:val="en-US" w:eastAsia="zh-CN"/>
              </w:rPr>
            </w:pPr>
            <w:r>
              <w:rPr>
                <w:rFonts w:hint="eastAsia" w:ascii="仿宋" w:hAnsi="仿宋" w:eastAsia="仿宋" w:cs="仿宋"/>
                <w:b/>
                <w:bCs/>
                <w:color w:val="000000"/>
                <w:kern w:val="0"/>
                <w:sz w:val="28"/>
                <w:szCs w:val="28"/>
                <w:lang w:val="en-US" w:eastAsia="zh-CN"/>
              </w:rPr>
              <w:t>备注</w:t>
            </w:r>
          </w:p>
        </w:tc>
      </w:tr>
      <w:tr w14:paraId="2E0B9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1" w:type="dxa"/>
            <w:shd w:val="clear" w:color="auto" w:fill="auto"/>
            <w:noWrap/>
            <w:vAlign w:val="center"/>
          </w:tcPr>
          <w:p w14:paraId="4B66CDA1">
            <w:pPr>
              <w:widowControl/>
              <w:spacing w:line="360" w:lineRule="auto"/>
              <w:jc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1</w:t>
            </w:r>
          </w:p>
        </w:tc>
        <w:tc>
          <w:tcPr>
            <w:tcW w:w="1965" w:type="dxa"/>
            <w:shd w:val="clear" w:color="auto" w:fill="auto"/>
            <w:vAlign w:val="center"/>
          </w:tcPr>
          <w:p w14:paraId="599D67A9">
            <w:pPr>
              <w:widowControl/>
              <w:spacing w:line="360" w:lineRule="auto"/>
              <w:jc w:val="center"/>
              <w:rPr>
                <w:rFonts w:hint="eastAsia" w:ascii="仿宋" w:hAnsi="仿宋" w:eastAsia="仿宋" w:cs="仿宋"/>
                <w:color w:val="000000"/>
                <w:kern w:val="0"/>
                <w:sz w:val="28"/>
                <w:szCs w:val="28"/>
                <w:lang w:val="en-US" w:eastAsia="zh-CN"/>
              </w:rPr>
            </w:pPr>
            <w:r>
              <w:rPr>
                <w:rFonts w:hint="eastAsia" w:ascii="仿宋" w:hAnsi="仿宋" w:eastAsia="仿宋" w:cs="仿宋"/>
                <w:color w:val="000000"/>
                <w:kern w:val="0"/>
                <w:sz w:val="28"/>
                <w:szCs w:val="28"/>
                <w:lang w:val="en-US" w:eastAsia="zh-CN"/>
              </w:rPr>
              <w:t>服务器</w:t>
            </w:r>
          </w:p>
        </w:tc>
        <w:tc>
          <w:tcPr>
            <w:tcW w:w="1687" w:type="dxa"/>
            <w:shd w:val="clear" w:color="auto" w:fill="auto"/>
            <w:vAlign w:val="center"/>
          </w:tcPr>
          <w:p w14:paraId="701EB35E">
            <w:pPr>
              <w:widowControl/>
              <w:spacing w:line="360" w:lineRule="auto"/>
              <w:jc w:val="center"/>
              <w:rPr>
                <w:rFonts w:hint="eastAsia" w:ascii="仿宋" w:hAnsi="仿宋" w:eastAsia="仿宋" w:cs="仿宋"/>
                <w:color w:val="000000"/>
                <w:kern w:val="0"/>
                <w:sz w:val="28"/>
                <w:szCs w:val="28"/>
                <w:lang w:val="en-US" w:eastAsia="zh-CN"/>
              </w:rPr>
            </w:pPr>
            <w:r>
              <w:rPr>
                <w:rFonts w:hint="eastAsia" w:ascii="仿宋" w:hAnsi="仿宋" w:eastAsia="仿宋" w:cs="仿宋"/>
                <w:color w:val="000000"/>
                <w:kern w:val="0"/>
                <w:sz w:val="28"/>
                <w:szCs w:val="28"/>
                <w:lang w:val="en-US" w:eastAsia="zh-CN"/>
              </w:rPr>
              <w:t>109</w:t>
            </w:r>
          </w:p>
        </w:tc>
        <w:tc>
          <w:tcPr>
            <w:tcW w:w="3960" w:type="dxa"/>
            <w:shd w:val="clear" w:color="auto" w:fill="auto"/>
            <w:vAlign w:val="center"/>
          </w:tcPr>
          <w:p w14:paraId="46EC5112">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 w:hAnsi="仿宋" w:eastAsia="仿宋" w:cs="仿宋"/>
                <w:color w:val="000000"/>
                <w:kern w:val="0"/>
                <w:sz w:val="28"/>
                <w:szCs w:val="28"/>
              </w:rPr>
            </w:pPr>
            <w:r>
              <w:rPr>
                <w:rFonts w:hint="eastAsia" w:ascii="仿宋" w:hAnsi="仿宋" w:eastAsia="仿宋" w:cs="仿宋"/>
                <w:bCs/>
                <w:sz w:val="28"/>
                <w:szCs w:val="28"/>
                <w:lang w:val="en-US" w:eastAsia="zh-CN"/>
              </w:rPr>
              <w:t>戴尔25台、H3C4台、HP17台、华为3台、IBM18台、联想28台、宝德2台、超微6台、浪潮1台、其他5台</w:t>
            </w:r>
          </w:p>
        </w:tc>
      </w:tr>
      <w:tr w14:paraId="28E94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1" w:type="dxa"/>
            <w:shd w:val="clear" w:color="auto" w:fill="auto"/>
            <w:noWrap/>
            <w:vAlign w:val="center"/>
          </w:tcPr>
          <w:p w14:paraId="380CD855">
            <w:pPr>
              <w:widowControl/>
              <w:spacing w:line="360" w:lineRule="auto"/>
              <w:jc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2</w:t>
            </w:r>
          </w:p>
        </w:tc>
        <w:tc>
          <w:tcPr>
            <w:tcW w:w="1965" w:type="dxa"/>
            <w:shd w:val="clear" w:color="auto" w:fill="auto"/>
            <w:vAlign w:val="center"/>
          </w:tcPr>
          <w:p w14:paraId="7EE2C981">
            <w:pPr>
              <w:widowControl/>
              <w:spacing w:line="360" w:lineRule="auto"/>
              <w:jc w:val="center"/>
              <w:rPr>
                <w:rFonts w:hint="eastAsia" w:ascii="仿宋" w:hAnsi="仿宋" w:eastAsia="仿宋" w:cs="仿宋"/>
                <w:color w:val="000000"/>
                <w:kern w:val="0"/>
                <w:sz w:val="28"/>
                <w:szCs w:val="28"/>
                <w:lang w:val="en-US" w:eastAsia="zh-CN"/>
              </w:rPr>
            </w:pPr>
            <w:r>
              <w:rPr>
                <w:rFonts w:hint="eastAsia" w:ascii="仿宋" w:hAnsi="仿宋" w:eastAsia="仿宋" w:cs="仿宋"/>
                <w:color w:val="000000"/>
                <w:kern w:val="0"/>
                <w:sz w:val="28"/>
                <w:szCs w:val="28"/>
                <w:lang w:val="en-US" w:eastAsia="zh-CN"/>
              </w:rPr>
              <w:t>网络设备</w:t>
            </w:r>
          </w:p>
        </w:tc>
        <w:tc>
          <w:tcPr>
            <w:tcW w:w="1687" w:type="dxa"/>
            <w:shd w:val="clear" w:color="auto" w:fill="auto"/>
            <w:vAlign w:val="center"/>
          </w:tcPr>
          <w:p w14:paraId="21329C90">
            <w:pPr>
              <w:widowControl/>
              <w:tabs>
                <w:tab w:val="right" w:pos="1441"/>
              </w:tabs>
              <w:spacing w:line="360" w:lineRule="auto"/>
              <w:jc w:val="center"/>
              <w:rPr>
                <w:rFonts w:hint="eastAsia" w:ascii="仿宋" w:hAnsi="仿宋" w:eastAsia="仿宋" w:cs="仿宋"/>
                <w:color w:val="000000"/>
                <w:kern w:val="0"/>
                <w:sz w:val="28"/>
                <w:szCs w:val="28"/>
                <w:lang w:val="en-US" w:eastAsia="zh-CN"/>
              </w:rPr>
            </w:pPr>
            <w:r>
              <w:rPr>
                <w:rFonts w:hint="eastAsia" w:ascii="仿宋" w:hAnsi="仿宋" w:eastAsia="仿宋" w:cs="仿宋"/>
                <w:color w:val="000000"/>
                <w:kern w:val="0"/>
                <w:sz w:val="28"/>
                <w:szCs w:val="28"/>
                <w:lang w:val="en-US" w:eastAsia="zh-CN"/>
              </w:rPr>
              <w:t>41</w:t>
            </w:r>
          </w:p>
        </w:tc>
        <w:tc>
          <w:tcPr>
            <w:tcW w:w="3960" w:type="dxa"/>
            <w:shd w:val="clear" w:color="auto" w:fill="auto"/>
            <w:vAlign w:val="center"/>
          </w:tcPr>
          <w:p w14:paraId="19EA8484">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 w:hAnsi="仿宋" w:eastAsia="仿宋" w:cs="仿宋"/>
                <w:color w:val="000000"/>
                <w:kern w:val="0"/>
                <w:sz w:val="28"/>
                <w:szCs w:val="28"/>
              </w:rPr>
            </w:pPr>
            <w:r>
              <w:rPr>
                <w:rFonts w:hint="eastAsia" w:ascii="仿宋" w:hAnsi="仿宋" w:eastAsia="仿宋" w:cs="仿宋"/>
                <w:bCs/>
                <w:sz w:val="28"/>
                <w:szCs w:val="28"/>
                <w:lang w:val="en-US" w:eastAsia="zh-CN"/>
              </w:rPr>
              <w:t>华三23台、IBM2台、华为9台、D-LINK1台、思科2台、博科2台、Aruba2台</w:t>
            </w:r>
          </w:p>
        </w:tc>
      </w:tr>
      <w:tr w14:paraId="3ACDF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1" w:type="dxa"/>
            <w:shd w:val="clear" w:color="auto" w:fill="auto"/>
            <w:noWrap/>
            <w:vAlign w:val="center"/>
          </w:tcPr>
          <w:p w14:paraId="2C60C04E">
            <w:pPr>
              <w:widowControl/>
              <w:spacing w:line="360" w:lineRule="auto"/>
              <w:jc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3</w:t>
            </w:r>
          </w:p>
        </w:tc>
        <w:tc>
          <w:tcPr>
            <w:tcW w:w="1965" w:type="dxa"/>
            <w:shd w:val="clear" w:color="auto" w:fill="auto"/>
            <w:vAlign w:val="center"/>
          </w:tcPr>
          <w:p w14:paraId="148D245A">
            <w:pPr>
              <w:widowControl/>
              <w:spacing w:line="360" w:lineRule="auto"/>
              <w:jc w:val="center"/>
              <w:rPr>
                <w:rFonts w:hint="eastAsia" w:ascii="仿宋" w:hAnsi="仿宋" w:eastAsia="仿宋" w:cs="仿宋"/>
                <w:color w:val="000000"/>
                <w:kern w:val="0"/>
                <w:sz w:val="28"/>
                <w:szCs w:val="28"/>
                <w:lang w:val="en-US" w:eastAsia="zh-CN"/>
              </w:rPr>
            </w:pPr>
            <w:r>
              <w:rPr>
                <w:rFonts w:hint="eastAsia" w:ascii="仿宋" w:hAnsi="仿宋" w:eastAsia="仿宋" w:cs="仿宋"/>
                <w:color w:val="000000"/>
                <w:kern w:val="0"/>
                <w:sz w:val="28"/>
                <w:szCs w:val="28"/>
                <w:lang w:val="en-US" w:eastAsia="zh-CN"/>
              </w:rPr>
              <w:t>安全设备</w:t>
            </w:r>
          </w:p>
        </w:tc>
        <w:tc>
          <w:tcPr>
            <w:tcW w:w="1687" w:type="dxa"/>
            <w:shd w:val="clear" w:color="auto" w:fill="auto"/>
            <w:vAlign w:val="center"/>
          </w:tcPr>
          <w:p w14:paraId="28480D48">
            <w:pPr>
              <w:widowControl/>
              <w:spacing w:line="360" w:lineRule="auto"/>
              <w:jc w:val="center"/>
              <w:rPr>
                <w:rFonts w:hint="eastAsia" w:ascii="仿宋" w:hAnsi="仿宋" w:eastAsia="仿宋" w:cs="仿宋"/>
                <w:color w:val="000000"/>
                <w:kern w:val="0"/>
                <w:sz w:val="28"/>
                <w:szCs w:val="28"/>
                <w:lang w:val="en-US" w:eastAsia="zh-CN"/>
              </w:rPr>
            </w:pPr>
            <w:r>
              <w:rPr>
                <w:rFonts w:hint="eastAsia" w:ascii="仿宋" w:hAnsi="仿宋" w:eastAsia="仿宋" w:cs="仿宋"/>
                <w:color w:val="000000"/>
                <w:kern w:val="0"/>
                <w:sz w:val="28"/>
                <w:szCs w:val="28"/>
                <w:lang w:val="en-US" w:eastAsia="zh-CN"/>
              </w:rPr>
              <w:t>28</w:t>
            </w:r>
          </w:p>
        </w:tc>
        <w:tc>
          <w:tcPr>
            <w:tcW w:w="3960" w:type="dxa"/>
            <w:shd w:val="clear" w:color="auto" w:fill="auto"/>
            <w:vAlign w:val="center"/>
          </w:tcPr>
          <w:p w14:paraId="25508B93">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 w:hAnsi="仿宋" w:eastAsia="仿宋" w:cs="仿宋"/>
                <w:color w:val="000000"/>
                <w:kern w:val="0"/>
                <w:sz w:val="28"/>
                <w:szCs w:val="28"/>
              </w:rPr>
            </w:pPr>
            <w:r>
              <w:rPr>
                <w:rFonts w:hint="eastAsia" w:ascii="仿宋" w:hAnsi="仿宋" w:eastAsia="仿宋" w:cs="仿宋"/>
                <w:bCs/>
                <w:sz w:val="28"/>
                <w:szCs w:val="28"/>
                <w:lang w:val="en-US" w:eastAsia="zh-CN"/>
              </w:rPr>
              <w:t>安恒7台、安华1台、绿盟4台、深信服9台、天融信2台、盈高5台</w:t>
            </w:r>
          </w:p>
        </w:tc>
      </w:tr>
      <w:tr w14:paraId="66175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1" w:type="dxa"/>
            <w:shd w:val="clear" w:color="auto" w:fill="auto"/>
            <w:noWrap/>
            <w:vAlign w:val="center"/>
          </w:tcPr>
          <w:p w14:paraId="4F05A02B">
            <w:pPr>
              <w:widowControl/>
              <w:spacing w:line="360" w:lineRule="auto"/>
              <w:jc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4</w:t>
            </w:r>
          </w:p>
        </w:tc>
        <w:tc>
          <w:tcPr>
            <w:tcW w:w="1965" w:type="dxa"/>
            <w:shd w:val="clear" w:color="auto" w:fill="auto"/>
            <w:vAlign w:val="center"/>
          </w:tcPr>
          <w:p w14:paraId="5990DCBA">
            <w:pPr>
              <w:widowControl/>
              <w:spacing w:line="360" w:lineRule="auto"/>
              <w:jc w:val="center"/>
              <w:rPr>
                <w:rFonts w:hint="eastAsia" w:ascii="仿宋" w:hAnsi="仿宋" w:eastAsia="仿宋" w:cs="仿宋"/>
                <w:color w:val="000000"/>
                <w:kern w:val="0"/>
                <w:sz w:val="28"/>
                <w:szCs w:val="28"/>
                <w:lang w:val="en-US" w:eastAsia="zh-CN"/>
              </w:rPr>
            </w:pPr>
            <w:r>
              <w:rPr>
                <w:rFonts w:hint="eastAsia" w:ascii="仿宋" w:hAnsi="仿宋" w:eastAsia="仿宋" w:cs="仿宋"/>
                <w:color w:val="000000"/>
                <w:kern w:val="0"/>
                <w:sz w:val="28"/>
                <w:szCs w:val="28"/>
                <w:lang w:val="en-US" w:eastAsia="zh-CN"/>
              </w:rPr>
              <w:t>存储设备</w:t>
            </w:r>
          </w:p>
        </w:tc>
        <w:tc>
          <w:tcPr>
            <w:tcW w:w="1687" w:type="dxa"/>
            <w:shd w:val="clear" w:color="auto" w:fill="auto"/>
            <w:vAlign w:val="center"/>
          </w:tcPr>
          <w:p w14:paraId="44CA5E82">
            <w:pPr>
              <w:widowControl/>
              <w:spacing w:line="360" w:lineRule="auto"/>
              <w:jc w:val="center"/>
              <w:rPr>
                <w:rFonts w:hint="eastAsia" w:ascii="仿宋" w:hAnsi="仿宋" w:eastAsia="仿宋" w:cs="仿宋"/>
                <w:color w:val="000000"/>
                <w:kern w:val="0"/>
                <w:sz w:val="28"/>
                <w:szCs w:val="28"/>
                <w:lang w:val="en-US" w:eastAsia="zh-CN"/>
              </w:rPr>
            </w:pPr>
            <w:r>
              <w:rPr>
                <w:rFonts w:hint="eastAsia" w:ascii="仿宋" w:hAnsi="仿宋" w:eastAsia="仿宋" w:cs="仿宋"/>
                <w:color w:val="000000"/>
                <w:kern w:val="0"/>
                <w:sz w:val="28"/>
                <w:szCs w:val="28"/>
                <w:lang w:val="en-US" w:eastAsia="zh-CN"/>
              </w:rPr>
              <w:t>9</w:t>
            </w:r>
          </w:p>
        </w:tc>
        <w:tc>
          <w:tcPr>
            <w:tcW w:w="3960" w:type="dxa"/>
            <w:shd w:val="clear" w:color="auto" w:fill="auto"/>
            <w:vAlign w:val="center"/>
          </w:tcPr>
          <w:p w14:paraId="3B48AE4C">
            <w:pPr>
              <w:widowControl/>
              <w:spacing w:line="360" w:lineRule="auto"/>
              <w:jc w:val="left"/>
              <w:rPr>
                <w:rFonts w:hint="eastAsia" w:ascii="仿宋" w:hAnsi="仿宋" w:eastAsia="仿宋" w:cs="仿宋"/>
                <w:color w:val="000000"/>
                <w:kern w:val="0"/>
                <w:sz w:val="28"/>
                <w:szCs w:val="28"/>
              </w:rPr>
            </w:pPr>
            <w:r>
              <w:rPr>
                <w:rFonts w:hint="eastAsia" w:ascii="仿宋" w:hAnsi="仿宋" w:eastAsia="仿宋" w:cs="仿宋"/>
                <w:bCs/>
                <w:sz w:val="28"/>
                <w:szCs w:val="28"/>
                <w:lang w:val="en-US" w:eastAsia="zh-CN"/>
              </w:rPr>
              <w:t>戴尔5台、IBM4台</w:t>
            </w:r>
          </w:p>
        </w:tc>
      </w:tr>
      <w:tr w14:paraId="6811F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1" w:type="dxa"/>
            <w:shd w:val="clear" w:color="auto" w:fill="auto"/>
            <w:noWrap/>
            <w:vAlign w:val="center"/>
          </w:tcPr>
          <w:p w14:paraId="78A03FF0">
            <w:pPr>
              <w:widowControl/>
              <w:spacing w:line="360" w:lineRule="auto"/>
              <w:jc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5</w:t>
            </w:r>
          </w:p>
        </w:tc>
        <w:tc>
          <w:tcPr>
            <w:tcW w:w="1965" w:type="dxa"/>
            <w:shd w:val="clear" w:color="auto" w:fill="auto"/>
            <w:vAlign w:val="center"/>
          </w:tcPr>
          <w:p w14:paraId="21DDE988">
            <w:pPr>
              <w:widowControl/>
              <w:spacing w:line="360" w:lineRule="auto"/>
              <w:jc w:val="center"/>
              <w:rPr>
                <w:rFonts w:hint="eastAsia" w:ascii="仿宋" w:hAnsi="仿宋" w:eastAsia="仿宋" w:cs="仿宋"/>
                <w:color w:val="000000"/>
                <w:kern w:val="0"/>
                <w:sz w:val="28"/>
                <w:szCs w:val="28"/>
                <w:lang w:val="en-US" w:eastAsia="zh-CN"/>
              </w:rPr>
            </w:pPr>
            <w:r>
              <w:rPr>
                <w:rFonts w:hint="eastAsia" w:ascii="仿宋" w:hAnsi="仿宋" w:eastAsia="仿宋" w:cs="仿宋"/>
                <w:color w:val="000000"/>
                <w:kern w:val="0"/>
                <w:sz w:val="28"/>
                <w:szCs w:val="28"/>
                <w:lang w:val="en-US" w:eastAsia="zh-CN"/>
              </w:rPr>
              <w:t>其他设备</w:t>
            </w:r>
          </w:p>
        </w:tc>
        <w:tc>
          <w:tcPr>
            <w:tcW w:w="1687" w:type="dxa"/>
            <w:shd w:val="clear" w:color="auto" w:fill="auto"/>
            <w:vAlign w:val="center"/>
          </w:tcPr>
          <w:p w14:paraId="42A47F9A">
            <w:pPr>
              <w:widowControl/>
              <w:spacing w:line="360" w:lineRule="auto"/>
              <w:jc w:val="center"/>
              <w:rPr>
                <w:rFonts w:hint="eastAsia" w:ascii="仿宋" w:hAnsi="仿宋" w:eastAsia="仿宋" w:cs="仿宋"/>
                <w:color w:val="000000"/>
                <w:kern w:val="0"/>
                <w:sz w:val="28"/>
                <w:szCs w:val="28"/>
                <w:lang w:val="en-US" w:eastAsia="zh-CN"/>
              </w:rPr>
            </w:pPr>
            <w:r>
              <w:rPr>
                <w:rFonts w:hint="eastAsia" w:ascii="仿宋" w:hAnsi="仿宋" w:eastAsia="仿宋" w:cs="仿宋"/>
                <w:color w:val="000000"/>
                <w:kern w:val="0"/>
                <w:sz w:val="28"/>
                <w:szCs w:val="28"/>
                <w:lang w:val="en-US" w:eastAsia="zh-CN"/>
              </w:rPr>
              <w:t>6</w:t>
            </w:r>
          </w:p>
        </w:tc>
        <w:tc>
          <w:tcPr>
            <w:tcW w:w="3960" w:type="dxa"/>
            <w:shd w:val="clear" w:color="auto" w:fill="auto"/>
            <w:vAlign w:val="center"/>
          </w:tcPr>
          <w:p w14:paraId="3A0F72E1">
            <w:pPr>
              <w:widowControl/>
              <w:spacing w:line="360" w:lineRule="auto"/>
              <w:jc w:val="left"/>
              <w:rPr>
                <w:rFonts w:hint="eastAsia" w:ascii="仿宋" w:hAnsi="仿宋" w:eastAsia="仿宋" w:cs="仿宋"/>
                <w:color w:val="000000"/>
                <w:kern w:val="0"/>
                <w:sz w:val="28"/>
                <w:szCs w:val="28"/>
              </w:rPr>
            </w:pPr>
          </w:p>
        </w:tc>
      </w:tr>
      <w:tr w14:paraId="364D4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1" w:type="dxa"/>
            <w:shd w:val="clear" w:color="auto" w:fill="auto"/>
            <w:noWrap/>
            <w:vAlign w:val="center"/>
          </w:tcPr>
          <w:p w14:paraId="256FB45F">
            <w:pPr>
              <w:widowControl/>
              <w:spacing w:line="360" w:lineRule="auto"/>
              <w:jc w:val="center"/>
              <w:rPr>
                <w:rFonts w:hint="eastAsia" w:ascii="仿宋" w:hAnsi="仿宋" w:eastAsia="仿宋" w:cs="仿宋"/>
                <w:color w:val="000000"/>
                <w:kern w:val="0"/>
                <w:sz w:val="28"/>
                <w:szCs w:val="28"/>
                <w:lang w:val="en-US" w:eastAsia="zh-CN"/>
              </w:rPr>
            </w:pPr>
            <w:r>
              <w:rPr>
                <w:rFonts w:hint="eastAsia" w:ascii="仿宋" w:hAnsi="仿宋" w:eastAsia="仿宋" w:cs="仿宋"/>
                <w:color w:val="000000"/>
                <w:kern w:val="0"/>
                <w:sz w:val="28"/>
                <w:szCs w:val="28"/>
                <w:lang w:val="en-US" w:eastAsia="zh-CN"/>
              </w:rPr>
              <w:t>总计</w:t>
            </w:r>
          </w:p>
        </w:tc>
        <w:tc>
          <w:tcPr>
            <w:tcW w:w="1965" w:type="dxa"/>
            <w:shd w:val="clear" w:color="auto" w:fill="auto"/>
            <w:vAlign w:val="center"/>
          </w:tcPr>
          <w:p w14:paraId="726C751F">
            <w:pPr>
              <w:widowControl/>
              <w:spacing w:line="360" w:lineRule="auto"/>
              <w:jc w:val="center"/>
              <w:rPr>
                <w:rFonts w:hint="eastAsia" w:ascii="仿宋" w:hAnsi="仿宋" w:eastAsia="仿宋" w:cs="仿宋"/>
                <w:color w:val="000000"/>
                <w:kern w:val="0"/>
                <w:sz w:val="28"/>
                <w:szCs w:val="28"/>
              </w:rPr>
            </w:pPr>
          </w:p>
        </w:tc>
        <w:tc>
          <w:tcPr>
            <w:tcW w:w="1687" w:type="dxa"/>
            <w:shd w:val="clear" w:color="auto" w:fill="auto"/>
            <w:vAlign w:val="center"/>
          </w:tcPr>
          <w:p w14:paraId="2B453704">
            <w:pPr>
              <w:widowControl/>
              <w:spacing w:line="360" w:lineRule="auto"/>
              <w:jc w:val="center"/>
              <w:rPr>
                <w:rFonts w:hint="eastAsia" w:ascii="仿宋" w:hAnsi="仿宋" w:eastAsia="仿宋" w:cs="仿宋"/>
                <w:color w:val="000000"/>
                <w:kern w:val="0"/>
                <w:sz w:val="28"/>
                <w:szCs w:val="28"/>
                <w:lang w:val="en-US" w:eastAsia="zh-CN"/>
              </w:rPr>
            </w:pPr>
            <w:r>
              <w:rPr>
                <w:rFonts w:hint="eastAsia" w:ascii="仿宋" w:hAnsi="仿宋" w:eastAsia="仿宋" w:cs="仿宋"/>
                <w:color w:val="000000"/>
                <w:kern w:val="0"/>
                <w:sz w:val="28"/>
                <w:szCs w:val="28"/>
                <w:lang w:val="en-US" w:eastAsia="zh-CN"/>
              </w:rPr>
              <w:t>193</w:t>
            </w:r>
          </w:p>
        </w:tc>
        <w:tc>
          <w:tcPr>
            <w:tcW w:w="3960" w:type="dxa"/>
            <w:shd w:val="clear" w:color="auto" w:fill="auto"/>
            <w:vAlign w:val="center"/>
          </w:tcPr>
          <w:p w14:paraId="69315061">
            <w:pPr>
              <w:widowControl/>
              <w:spacing w:line="360" w:lineRule="auto"/>
              <w:jc w:val="left"/>
              <w:rPr>
                <w:rFonts w:hint="eastAsia" w:ascii="仿宋" w:hAnsi="仿宋" w:eastAsia="仿宋" w:cs="仿宋"/>
                <w:color w:val="000000"/>
                <w:kern w:val="0"/>
                <w:sz w:val="28"/>
                <w:szCs w:val="28"/>
              </w:rPr>
            </w:pPr>
          </w:p>
        </w:tc>
      </w:tr>
    </w:tbl>
    <w:p w14:paraId="36047172">
      <w:pPr>
        <w:pStyle w:val="14"/>
        <w:numPr>
          <w:ilvl w:val="0"/>
          <w:numId w:val="0"/>
        </w:numPr>
        <w:spacing w:beforeLines="0" w:after="156" w:afterLines="0" w:line="360" w:lineRule="auto"/>
        <w:ind w:leftChars="0"/>
        <w:outlineLvl w:val="0"/>
        <w:rPr>
          <w:rFonts w:hint="eastAsia" w:ascii="仿宋" w:hAnsi="仿宋" w:eastAsia="仿宋" w:cs="仿宋"/>
          <w:b/>
          <w:sz w:val="28"/>
          <w:szCs w:val="28"/>
        </w:rPr>
      </w:pPr>
      <w:r>
        <w:rPr>
          <w:rFonts w:hint="eastAsia" w:ascii="仿宋" w:hAnsi="仿宋" w:eastAsia="仿宋" w:cs="仿宋"/>
          <w:b/>
          <w:sz w:val="28"/>
          <w:szCs w:val="28"/>
          <w:lang w:val="en-US" w:eastAsia="zh-CN"/>
        </w:rPr>
        <w:t>三、</w:t>
      </w:r>
      <w:r>
        <w:rPr>
          <w:rFonts w:hint="eastAsia" w:ascii="仿宋" w:hAnsi="仿宋" w:eastAsia="仿宋" w:cs="仿宋"/>
          <w:b/>
          <w:sz w:val="28"/>
          <w:szCs w:val="28"/>
        </w:rPr>
        <w:t xml:space="preserve">维保服务要求 </w:t>
      </w:r>
    </w:p>
    <w:p w14:paraId="57B826BE">
      <w:pPr>
        <w:spacing w:line="360" w:lineRule="auto"/>
        <w:rPr>
          <w:rFonts w:hint="eastAsia" w:ascii="仿宋" w:hAnsi="仿宋" w:eastAsia="仿宋" w:cs="仿宋"/>
          <w:sz w:val="28"/>
          <w:szCs w:val="28"/>
        </w:rPr>
      </w:pPr>
      <w:r>
        <w:rPr>
          <w:rFonts w:hint="eastAsia" w:ascii="仿宋" w:hAnsi="仿宋" w:eastAsia="仿宋" w:cs="仿宋"/>
          <w:b/>
          <w:bCs/>
          <w:sz w:val="28"/>
          <w:szCs w:val="28"/>
        </w:rPr>
        <w:t>1.服务要求:</w:t>
      </w:r>
    </w:p>
    <w:p w14:paraId="41A65C74">
      <w:pPr>
        <w:spacing w:line="360" w:lineRule="auto"/>
        <w:ind w:firstLine="420"/>
        <w:rPr>
          <w:rFonts w:hint="eastAsia" w:ascii="仿宋" w:hAnsi="仿宋" w:eastAsia="仿宋" w:cs="仿宋"/>
          <w:bCs/>
          <w:sz w:val="28"/>
          <w:szCs w:val="28"/>
        </w:rPr>
      </w:pPr>
      <w:r>
        <w:rPr>
          <w:rFonts w:hint="eastAsia" w:ascii="仿宋" w:hAnsi="仿宋" w:eastAsia="仿宋" w:cs="仿宋"/>
          <w:bCs/>
          <w:sz w:val="28"/>
          <w:szCs w:val="28"/>
        </w:rPr>
        <w:t>根据采购人的需求和系统运行分析，对服务器、存储设备、网络设备、虚拟机提供改进解决方案并进行相应规则及系统完善。中标人针对具体服务器、存储设备、网络设备、虚拟机维护需提供相对应服务工程师联系人及联系方式，确保24小时有人接听,如人员变更应及时通知采购人。</w:t>
      </w:r>
    </w:p>
    <w:p w14:paraId="37541C21">
      <w:pPr>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rPr>
        <w:t>(1)现场技术支持服务：对于出现的各类故障通过远程等方式无法排除，关键性系统故障服务工程师需要在3小时内到达现场进行现场技术支持服务，非关键性系统故障服务工程师需要在8小时内到达现场进行现场技术支持服务。</w:t>
      </w:r>
    </w:p>
    <w:p w14:paraId="086D0E6B">
      <w:pPr>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rPr>
        <w:t>(2)远程技术支持服务：在条件允许的情况下，服务工程师必须在30分钟内利用远程工具连入系统和设备，对故障进行判断和排除。</w:t>
      </w:r>
    </w:p>
    <w:p w14:paraId="1E159450">
      <w:pPr>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rPr>
        <w:t>(3)电话支持服务：中标人提供7*24小时在线电话支持，接受故障申告及技术咨询，对于出现故障进行电话技术支持。</w:t>
      </w:r>
    </w:p>
    <w:p w14:paraId="3C7CC674">
      <w:pPr>
        <w:spacing w:line="360" w:lineRule="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2.设备维修要求:</w:t>
      </w:r>
    </w:p>
    <w:p w14:paraId="02EEA150">
      <w:pP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项目服务期内，服务商需要提供一套 200 个点的数据中心监控运维工具，纳管核心的业务设备系统，对现有机房设备的管理、监控和运维，提升技术支持质量和效率，并能快速的响应、故障处理与修复，包含在项目报价中。</w:t>
      </w:r>
    </w:p>
    <w:p w14:paraId="0BFBC0FA">
      <w:pPr>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rPr>
        <w:t>在服务期内当本项目所列设备清单设备出现故障时，要求中标人在获得通知后即时响应，3小时以内到达现场，为采购人查找和确认故障原因。对于非硬件故障，要求在获得通知起3小时内排除故障并恢复系统正常运行，对于硬件故障，要求不论在何时确诊需要进行备件更换，发出备件更换指令起6小时内备件到达故障现场，并恢复系统正常运行。中标人在故障解决后24小时内，向采购人提交详细的故障报告，对故障原因进行分析、说明处理过程，并提出类似故障的防范措施并实施：</w:t>
      </w:r>
    </w:p>
    <w:p w14:paraId="409D8475">
      <w:pPr>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rPr>
        <w:t>(1)负责检测、排除设备（系统）硬件故障，</w:t>
      </w:r>
      <w:r>
        <w:rPr>
          <w:rFonts w:hint="eastAsia" w:ascii="仿宋" w:hAnsi="仿宋" w:eastAsia="仿宋" w:cs="仿宋"/>
          <w:bCs/>
          <w:sz w:val="28"/>
          <w:szCs w:val="28"/>
          <w:lang w:val="zh-CN"/>
        </w:rPr>
        <w:t>恢复设备（系统）运行</w:t>
      </w:r>
      <w:r>
        <w:rPr>
          <w:rFonts w:hint="eastAsia" w:ascii="仿宋" w:hAnsi="仿宋" w:eastAsia="仿宋" w:cs="仿宋"/>
          <w:bCs/>
          <w:sz w:val="28"/>
          <w:szCs w:val="28"/>
        </w:rPr>
        <w:t>；</w:t>
      </w:r>
    </w:p>
    <w:p w14:paraId="2A6C4ED3">
      <w:pPr>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rPr>
        <w:t>(2)提供备件先行更换服务；</w:t>
      </w:r>
    </w:p>
    <w:p w14:paraId="5156503A">
      <w:pPr>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rPr>
        <w:t>(3)提供现场硬件更换服务；</w:t>
      </w:r>
    </w:p>
    <w:p w14:paraId="7F1C74E6">
      <w:pPr>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rPr>
        <w:t>(4)须使用和投保设备（系统）同品牌的备件；</w:t>
      </w:r>
    </w:p>
    <w:p w14:paraId="20C6D038">
      <w:pPr>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rPr>
        <w:t>(5)要求使用和投保设备（系统）同型号的备件，对于已过原厂定义的生命周期且投标人确实无法提供同型号备件的，要求投标人提供的同品牌备件在功能和性能上不低于原设备。</w:t>
      </w:r>
    </w:p>
    <w:p w14:paraId="2D6250DE">
      <w:pPr>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rPr>
        <w:t>(6)针对本项目建立符合服务要求的备件库，必须使用原厂配件，提供备件清单。</w:t>
      </w:r>
    </w:p>
    <w:p w14:paraId="59964C88">
      <w:pPr>
        <w:pStyle w:val="14"/>
        <w:spacing w:before="156" w:after="156" w:line="360" w:lineRule="auto"/>
        <w:rPr>
          <w:rFonts w:hint="eastAsia" w:ascii="仿宋" w:hAnsi="仿宋" w:eastAsia="仿宋" w:cs="仿宋"/>
          <w:b/>
          <w:sz w:val="28"/>
          <w:szCs w:val="28"/>
        </w:rPr>
      </w:pPr>
      <w:r>
        <w:rPr>
          <w:rFonts w:hint="eastAsia" w:ascii="仿宋" w:hAnsi="仿宋" w:eastAsia="仿宋" w:cs="仿宋"/>
          <w:b/>
          <w:sz w:val="28"/>
          <w:szCs w:val="28"/>
        </w:rPr>
        <w:t>3、定期巡检及服务要求：</w:t>
      </w:r>
    </w:p>
    <w:p w14:paraId="3589C3C8">
      <w:pPr>
        <w:pStyle w:val="14"/>
        <w:spacing w:before="156" w:after="156"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为了提高巡检效率和准确性，中标人需要提供自动巡检工具如服务器、数据库、网络系统一键巡检软件</w:t>
      </w:r>
      <w:r>
        <w:rPr>
          <w:rFonts w:hint="eastAsia" w:ascii="仿宋" w:hAnsi="仿宋" w:eastAsia="仿宋" w:cs="仿宋"/>
          <w:sz w:val="28"/>
          <w:szCs w:val="28"/>
          <w:lang w:eastAsia="zh-CN"/>
        </w:rPr>
        <w:t>。</w:t>
      </w:r>
    </w:p>
    <w:p w14:paraId="0EC5ADD3">
      <w:pPr>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rPr>
        <w:t>(1)中标人按照规范的流程定期对维保服务范围内的设备运行情况进行系统的检查，并制定相应规范，内容包括现场数据采集、分析、巡检报告生成等。通过对设备关键检查点参数进行数据采集，并将采集到的数据与有关标准进行比较，从而确定相关设备所处的运行状态。</w:t>
      </w:r>
    </w:p>
    <w:p w14:paraId="7227F100">
      <w:pPr>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rPr>
        <w:t>(2)每 1个月进行1次专家巡检,提供巡检报告，并进行建议处理。</w:t>
      </w:r>
    </w:p>
    <w:p w14:paraId="3A044624">
      <w:pPr>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rPr>
        <w:t>(3)每 1个月进行1次系统运行性能诊断并提供性能分析报告。</w:t>
      </w:r>
    </w:p>
    <w:p w14:paraId="086F46D5">
      <w:pPr>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rPr>
        <w:t>(4)每 1个月进行1次服务工作总结。</w:t>
      </w:r>
    </w:p>
    <w:p w14:paraId="12021AB7">
      <w:pPr>
        <w:pStyle w:val="13"/>
        <w:spacing w:line="360" w:lineRule="auto"/>
        <w:ind w:firstLine="1400" w:firstLineChars="500"/>
        <w:rPr>
          <w:rFonts w:hint="eastAsia" w:ascii="仿宋" w:hAnsi="仿宋" w:eastAsia="仿宋" w:cs="仿宋"/>
          <w:bCs/>
          <w:sz w:val="28"/>
          <w:szCs w:val="28"/>
        </w:rPr>
      </w:pPr>
      <w:r>
        <w:rPr>
          <w:rFonts w:hint="eastAsia" w:ascii="仿宋" w:hAnsi="仿宋" w:eastAsia="仿宋" w:cs="仿宋"/>
          <w:bCs/>
          <w:sz w:val="28"/>
          <w:szCs w:val="28"/>
        </w:rPr>
        <w:t>(5)要求中标人在合同签订后15个工作日内，完成设备首次巡检。</w:t>
      </w:r>
    </w:p>
    <w:p w14:paraId="659F8187">
      <w:pPr>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rPr>
        <w:t>(6)每次巡检结束后3个工作日内，要求向采购人提交巡检报告，如巡检中发现软硬件问题，应及时诊断修复并提交故障报告及相应的解决措施并进行解决。</w:t>
      </w:r>
    </w:p>
    <w:p w14:paraId="0B5A0FDA">
      <w:pPr>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rPr>
        <w:t>(7)提供自动巡检工具对应软著等材料</w:t>
      </w:r>
    </w:p>
    <w:p w14:paraId="684FA895">
      <w:pPr>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rPr>
        <w:t>(8)每月按医院要求对机房现有布线进行规范整理，如标签、走线等。</w:t>
      </w:r>
    </w:p>
    <w:p w14:paraId="500D9B54">
      <w:pPr>
        <w:pStyle w:val="14"/>
        <w:spacing w:before="156" w:after="156" w:line="360" w:lineRule="auto"/>
        <w:rPr>
          <w:rFonts w:hint="eastAsia" w:ascii="仿宋" w:hAnsi="仿宋" w:eastAsia="仿宋" w:cs="仿宋"/>
          <w:b/>
          <w:sz w:val="28"/>
          <w:szCs w:val="28"/>
        </w:rPr>
      </w:pPr>
      <w:r>
        <w:rPr>
          <w:rFonts w:hint="eastAsia" w:ascii="仿宋" w:hAnsi="仿宋" w:eastAsia="仿宋" w:cs="仿宋"/>
          <w:b/>
          <w:sz w:val="28"/>
          <w:szCs w:val="28"/>
        </w:rPr>
        <w:t>4、文档管理要求：</w:t>
      </w:r>
    </w:p>
    <w:p w14:paraId="68F684E7">
      <w:pPr>
        <w:spacing w:line="360" w:lineRule="auto"/>
        <w:rPr>
          <w:rFonts w:hint="eastAsia" w:ascii="仿宋" w:hAnsi="仿宋" w:eastAsia="仿宋" w:cs="仿宋"/>
          <w:bCs/>
          <w:sz w:val="28"/>
          <w:szCs w:val="28"/>
        </w:rPr>
      </w:pPr>
      <w:r>
        <w:rPr>
          <w:rFonts w:hint="eastAsia" w:ascii="仿宋" w:hAnsi="仿宋" w:eastAsia="仿宋" w:cs="仿宋"/>
          <w:bCs/>
          <w:sz w:val="28"/>
          <w:szCs w:val="28"/>
        </w:rPr>
        <w:t>档案内容应包括但不限于：</w:t>
      </w:r>
    </w:p>
    <w:p w14:paraId="4F957022">
      <w:pPr>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rPr>
        <w:t>(1)硬件设备档案：设备清单、保修信息、维修记录、配置信息、巡检记录、端口信息等。</w:t>
      </w:r>
    </w:p>
    <w:p w14:paraId="575AB815">
      <w:pPr>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rPr>
        <w:t>(2)软件系统档案：系统清单、操作系统配置、备份信息、版本信息、存储配置信息。</w:t>
      </w:r>
    </w:p>
    <w:p w14:paraId="7B39CD70">
      <w:pPr>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rPr>
        <w:t>(3)操作手册：备份恢复、应急操作。</w:t>
      </w:r>
    </w:p>
    <w:p w14:paraId="32149043">
      <w:pPr>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rPr>
        <w:t xml:space="preserve">(4)应急方案：针对不同设备故障制定相应应急预案。 </w:t>
      </w:r>
    </w:p>
    <w:p w14:paraId="4E9647BC">
      <w:pPr>
        <w:spacing w:line="360" w:lineRule="auto"/>
        <w:ind w:firstLine="560" w:firstLineChars="200"/>
        <w:rPr>
          <w:rFonts w:hint="eastAsia" w:ascii="仿宋" w:hAnsi="仿宋" w:eastAsia="仿宋" w:cs="仿宋"/>
          <w:b/>
          <w:bCs/>
          <w:sz w:val="28"/>
          <w:szCs w:val="28"/>
        </w:rPr>
      </w:pPr>
      <w:r>
        <w:rPr>
          <w:rFonts w:hint="eastAsia" w:ascii="仿宋" w:hAnsi="仿宋" w:eastAsia="仿宋" w:cs="仿宋"/>
          <w:bCs/>
          <w:sz w:val="28"/>
          <w:szCs w:val="28"/>
        </w:rPr>
        <w:t>(5)中标人应根据采购人要求对系统所需的文档每季度更新一次并提交采购人备案。</w:t>
      </w:r>
    </w:p>
    <w:p w14:paraId="3A412462">
      <w:pPr>
        <w:pStyle w:val="14"/>
        <w:spacing w:before="156" w:after="156" w:line="360" w:lineRule="auto"/>
        <w:rPr>
          <w:rFonts w:hint="eastAsia" w:ascii="仿宋" w:hAnsi="仿宋" w:eastAsia="仿宋" w:cs="仿宋"/>
          <w:b/>
          <w:sz w:val="28"/>
          <w:szCs w:val="28"/>
        </w:rPr>
      </w:pPr>
      <w:r>
        <w:rPr>
          <w:rFonts w:hint="eastAsia" w:ascii="仿宋" w:hAnsi="仿宋" w:eastAsia="仿宋" w:cs="仿宋"/>
          <w:b/>
          <w:sz w:val="28"/>
          <w:szCs w:val="28"/>
        </w:rPr>
        <w:t>5、培训要求：</w:t>
      </w:r>
    </w:p>
    <w:p w14:paraId="0527BBF9">
      <w:pPr>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rPr>
        <w:t>(1)制定采购单位相关人员的总体培训计划，</w:t>
      </w:r>
      <w:r>
        <w:rPr>
          <w:rFonts w:hint="eastAsia" w:ascii="仿宋" w:hAnsi="仿宋" w:eastAsia="仿宋" w:cs="仿宋"/>
          <w:sz w:val="28"/>
          <w:szCs w:val="28"/>
        </w:rPr>
        <w:t>详细说明培训方式、内容。</w:t>
      </w:r>
    </w:p>
    <w:p w14:paraId="242EC31C">
      <w:pPr>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rPr>
        <w:t>(2)培训内容包括针对小型机、</w:t>
      </w:r>
      <w:r>
        <w:rPr>
          <w:rFonts w:hint="eastAsia" w:ascii="仿宋" w:hAnsi="仿宋" w:eastAsia="仿宋" w:cs="仿宋"/>
          <w:sz w:val="28"/>
          <w:szCs w:val="28"/>
        </w:rPr>
        <w:t>存储、SAN交换机、网络设备、虚拟化</w:t>
      </w:r>
      <w:r>
        <w:rPr>
          <w:rFonts w:hint="eastAsia" w:ascii="仿宋" w:hAnsi="仿宋" w:eastAsia="仿宋" w:cs="仿宋"/>
          <w:bCs/>
          <w:sz w:val="28"/>
          <w:szCs w:val="28"/>
        </w:rPr>
        <w:t>等。</w:t>
      </w:r>
    </w:p>
    <w:p w14:paraId="0034C5EF">
      <w:pPr>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rPr>
        <w:t>(3)培训讲师应具备相应资格资质证书。</w:t>
      </w:r>
    </w:p>
    <w:p w14:paraId="262AF991">
      <w:pPr>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rPr>
        <w:t>(4)培训时间、地点由双方商定。</w:t>
      </w:r>
    </w:p>
    <w:p w14:paraId="0A725115">
      <w:pPr>
        <w:spacing w:line="360" w:lineRule="auto"/>
        <w:rPr>
          <w:rFonts w:hint="eastAsia" w:ascii="仿宋" w:hAnsi="仿宋" w:eastAsia="仿宋" w:cs="仿宋"/>
          <w:b/>
          <w:bCs/>
          <w:sz w:val="28"/>
          <w:szCs w:val="28"/>
        </w:rPr>
      </w:pPr>
      <w:r>
        <w:rPr>
          <w:rFonts w:hint="eastAsia" w:ascii="仿宋" w:hAnsi="仿宋" w:eastAsia="仿宋" w:cs="仿宋"/>
          <w:b/>
          <w:bCs/>
          <w:sz w:val="28"/>
          <w:szCs w:val="28"/>
        </w:rPr>
        <w:t>6、系统管理</w:t>
      </w:r>
    </w:p>
    <w:p w14:paraId="7844FA63">
      <w:pPr>
        <w:spacing w:line="360" w:lineRule="auto"/>
        <w:ind w:firstLine="560" w:firstLineChars="200"/>
        <w:rPr>
          <w:rFonts w:hint="eastAsia" w:ascii="仿宋" w:hAnsi="仿宋" w:eastAsia="仿宋" w:cs="仿宋"/>
          <w:bCs/>
          <w:sz w:val="28"/>
          <w:szCs w:val="28"/>
        </w:rPr>
      </w:pPr>
      <w:r>
        <w:rPr>
          <w:rFonts w:hint="eastAsia" w:ascii="仿宋" w:hAnsi="仿宋" w:eastAsia="仿宋" w:cs="仿宋"/>
          <w:sz w:val="28"/>
          <w:szCs w:val="28"/>
        </w:rPr>
        <w:t>由于运维维保设备数量众多，设备种类、品牌、故障情况均不同，专业性的能力要求非常的高，为便于故障的快速报修，故障定位与解决，故障后的总结与规划，资产统计与管理，数据统计与分析，中标人需提供统一运维管理系统供客户使用，功能要求至少包括资产管理、微信扫码报修、</w:t>
      </w:r>
      <w:r>
        <w:rPr>
          <w:rFonts w:hint="eastAsia" w:ascii="仿宋" w:hAnsi="仿宋" w:eastAsia="仿宋" w:cs="仿宋"/>
          <w:bCs/>
          <w:sz w:val="28"/>
          <w:szCs w:val="28"/>
        </w:rPr>
        <w:t>工单分配与处理，故障报告、巡检报告上传与查阅，数据统计与分析模块等，包含在项目总价中。</w:t>
      </w:r>
    </w:p>
    <w:p w14:paraId="4A375E7B">
      <w:pPr>
        <w:spacing w:line="360" w:lineRule="auto"/>
        <w:rPr>
          <w:rFonts w:hint="eastAsia" w:ascii="仿宋" w:hAnsi="仿宋" w:eastAsia="仿宋" w:cs="仿宋"/>
          <w:b/>
          <w:bCs/>
          <w:sz w:val="28"/>
          <w:szCs w:val="28"/>
        </w:rPr>
      </w:pPr>
      <w:r>
        <w:rPr>
          <w:rFonts w:hint="eastAsia" w:ascii="仿宋" w:hAnsi="仿宋" w:eastAsia="仿宋" w:cs="仿宋"/>
          <w:b/>
          <w:bCs/>
          <w:sz w:val="28"/>
          <w:szCs w:val="28"/>
        </w:rPr>
        <w:t>7、公司及技术团队技术运维能力要求</w:t>
      </w:r>
    </w:p>
    <w:p w14:paraId="173E086F">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公司资质能力要求：</w:t>
      </w:r>
    </w:p>
    <w:p w14:paraId="75087F3D">
      <w:pPr>
        <w:pStyle w:val="39"/>
        <w:numPr>
          <w:ilvl w:val="0"/>
          <w:numId w:val="3"/>
        </w:numPr>
        <w:spacing w:line="360" w:lineRule="auto"/>
        <w:ind w:firstLineChars="0"/>
        <w:rPr>
          <w:rFonts w:hint="eastAsia" w:ascii="仿宋" w:hAnsi="仿宋" w:eastAsia="仿宋" w:cs="仿宋"/>
          <w:sz w:val="28"/>
          <w:szCs w:val="28"/>
        </w:rPr>
      </w:pPr>
      <w:r>
        <w:rPr>
          <w:rFonts w:hint="eastAsia" w:ascii="仿宋" w:hAnsi="仿宋" w:eastAsia="仿宋" w:cs="仿宋"/>
          <w:sz w:val="28"/>
          <w:szCs w:val="28"/>
        </w:rPr>
        <w:t>ISO 22301业务连续性体系认证</w:t>
      </w:r>
    </w:p>
    <w:p w14:paraId="18496B54">
      <w:pPr>
        <w:pStyle w:val="39"/>
        <w:numPr>
          <w:ilvl w:val="0"/>
          <w:numId w:val="3"/>
        </w:numPr>
        <w:spacing w:line="360" w:lineRule="auto"/>
        <w:ind w:firstLineChars="0"/>
        <w:rPr>
          <w:rFonts w:hint="eastAsia" w:ascii="仿宋" w:hAnsi="仿宋" w:eastAsia="仿宋" w:cs="仿宋"/>
          <w:sz w:val="28"/>
          <w:szCs w:val="28"/>
        </w:rPr>
      </w:pPr>
      <w:r>
        <w:rPr>
          <w:rFonts w:hint="eastAsia" w:ascii="仿宋" w:hAnsi="仿宋" w:eastAsia="仿宋" w:cs="仿宋"/>
          <w:sz w:val="28"/>
          <w:szCs w:val="28"/>
        </w:rPr>
        <w:t>ISO 20000信息技术服务管理体系认证</w:t>
      </w:r>
    </w:p>
    <w:p w14:paraId="0EF1B59F">
      <w:pPr>
        <w:pStyle w:val="39"/>
        <w:numPr>
          <w:ilvl w:val="0"/>
          <w:numId w:val="3"/>
        </w:numPr>
        <w:spacing w:line="360" w:lineRule="auto"/>
        <w:ind w:firstLineChars="0"/>
        <w:rPr>
          <w:rFonts w:hint="eastAsia" w:ascii="仿宋" w:hAnsi="仿宋" w:eastAsia="仿宋" w:cs="仿宋"/>
          <w:sz w:val="28"/>
          <w:szCs w:val="28"/>
        </w:rPr>
      </w:pPr>
      <w:r>
        <w:rPr>
          <w:rFonts w:hint="eastAsia" w:ascii="仿宋" w:hAnsi="仿宋" w:eastAsia="仿宋" w:cs="仿宋"/>
          <w:sz w:val="28"/>
          <w:szCs w:val="28"/>
        </w:rPr>
        <w:t>ISO 27001信息安全管理体系认证</w:t>
      </w:r>
    </w:p>
    <w:p w14:paraId="0896B2B8">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以上内容要求提供证书原件扫描件</w:t>
      </w:r>
    </w:p>
    <w:p w14:paraId="3A52EF4A">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同时要求组建专业的运维服务团队，包括技术领域及认证证书，证书要求如下：</w:t>
      </w:r>
    </w:p>
    <w:p w14:paraId="24194385">
      <w:pPr>
        <w:pStyle w:val="39"/>
        <w:numPr>
          <w:ilvl w:val="0"/>
          <w:numId w:val="3"/>
        </w:numPr>
        <w:spacing w:line="360" w:lineRule="auto"/>
        <w:ind w:firstLineChars="0"/>
        <w:rPr>
          <w:rFonts w:hint="eastAsia" w:ascii="仿宋" w:hAnsi="仿宋" w:eastAsia="仿宋" w:cs="仿宋"/>
          <w:sz w:val="28"/>
          <w:szCs w:val="28"/>
        </w:rPr>
      </w:pPr>
      <w:r>
        <w:rPr>
          <w:rFonts w:hint="eastAsia" w:ascii="仿宋" w:hAnsi="仿宋" w:eastAsia="仿宋" w:cs="仿宋"/>
          <w:sz w:val="28"/>
          <w:szCs w:val="28"/>
        </w:rPr>
        <w:t>ITSS-IT服务项目经理认证工程师</w:t>
      </w:r>
    </w:p>
    <w:p w14:paraId="27DFC2E1">
      <w:pPr>
        <w:pStyle w:val="39"/>
        <w:numPr>
          <w:ilvl w:val="0"/>
          <w:numId w:val="3"/>
        </w:numPr>
        <w:spacing w:line="360" w:lineRule="auto"/>
        <w:ind w:firstLineChars="0"/>
        <w:rPr>
          <w:rFonts w:hint="eastAsia" w:ascii="仿宋" w:hAnsi="仿宋" w:eastAsia="仿宋" w:cs="仿宋"/>
          <w:sz w:val="28"/>
          <w:szCs w:val="28"/>
        </w:rPr>
      </w:pPr>
      <w:r>
        <w:rPr>
          <w:rFonts w:hint="eastAsia" w:ascii="仿宋" w:hAnsi="仿宋" w:eastAsia="仿宋" w:cs="仿宋"/>
          <w:sz w:val="28"/>
          <w:szCs w:val="28"/>
        </w:rPr>
        <w:t>CISP CISAW安全工程师</w:t>
      </w:r>
    </w:p>
    <w:p w14:paraId="5B2D7685">
      <w:pPr>
        <w:pStyle w:val="39"/>
        <w:numPr>
          <w:ilvl w:val="0"/>
          <w:numId w:val="3"/>
        </w:numPr>
        <w:spacing w:line="360" w:lineRule="auto"/>
        <w:ind w:firstLineChars="0"/>
        <w:rPr>
          <w:rFonts w:hint="eastAsia" w:ascii="仿宋" w:hAnsi="仿宋" w:eastAsia="仿宋" w:cs="仿宋"/>
          <w:sz w:val="28"/>
          <w:szCs w:val="28"/>
        </w:rPr>
      </w:pPr>
      <w:r>
        <w:rPr>
          <w:rFonts w:hint="eastAsia" w:ascii="仿宋" w:hAnsi="仿宋" w:eastAsia="仿宋" w:cs="仿宋"/>
          <w:sz w:val="28"/>
          <w:szCs w:val="28"/>
        </w:rPr>
        <w:t>CISP-PTE 认证工程师</w:t>
      </w:r>
    </w:p>
    <w:p w14:paraId="662CD3D4">
      <w:pPr>
        <w:pStyle w:val="39"/>
        <w:numPr>
          <w:ilvl w:val="0"/>
          <w:numId w:val="3"/>
        </w:numPr>
        <w:spacing w:line="360" w:lineRule="auto"/>
        <w:ind w:firstLineChars="0"/>
        <w:rPr>
          <w:rFonts w:hint="eastAsia" w:ascii="仿宋" w:hAnsi="仿宋" w:eastAsia="仿宋" w:cs="仿宋"/>
          <w:sz w:val="28"/>
          <w:szCs w:val="28"/>
        </w:rPr>
      </w:pPr>
      <w:r>
        <w:rPr>
          <w:rFonts w:hint="eastAsia" w:ascii="仿宋" w:hAnsi="仿宋" w:eastAsia="仿宋" w:cs="仿宋"/>
          <w:sz w:val="28"/>
          <w:szCs w:val="28"/>
        </w:rPr>
        <w:t>VCP 虚拟化工程师</w:t>
      </w:r>
    </w:p>
    <w:p w14:paraId="2D87D32B">
      <w:pPr>
        <w:pStyle w:val="39"/>
        <w:numPr>
          <w:ilvl w:val="0"/>
          <w:numId w:val="3"/>
        </w:numPr>
        <w:spacing w:line="360" w:lineRule="auto"/>
        <w:ind w:firstLineChars="0"/>
        <w:rPr>
          <w:rFonts w:hint="eastAsia" w:ascii="仿宋" w:hAnsi="仿宋" w:eastAsia="仿宋" w:cs="仿宋"/>
          <w:sz w:val="28"/>
          <w:szCs w:val="28"/>
        </w:rPr>
      </w:pPr>
      <w:r>
        <w:rPr>
          <w:rFonts w:hint="eastAsia" w:ascii="仿宋" w:hAnsi="仿宋" w:eastAsia="仿宋" w:cs="仿宋"/>
          <w:sz w:val="28"/>
          <w:szCs w:val="28"/>
        </w:rPr>
        <w:t>Oracle Database 11g Administrator Certified Master数据库大师认证工程师</w:t>
      </w:r>
    </w:p>
    <w:p w14:paraId="5B914BC4">
      <w:pPr>
        <w:pStyle w:val="39"/>
        <w:numPr>
          <w:ilvl w:val="0"/>
          <w:numId w:val="3"/>
        </w:numPr>
        <w:spacing w:line="360" w:lineRule="auto"/>
        <w:ind w:firstLineChars="0"/>
        <w:rPr>
          <w:rFonts w:hint="eastAsia" w:ascii="仿宋" w:hAnsi="仿宋" w:eastAsia="仿宋" w:cs="仿宋"/>
          <w:sz w:val="28"/>
          <w:szCs w:val="28"/>
        </w:rPr>
      </w:pPr>
      <w:r>
        <w:rPr>
          <w:rFonts w:hint="eastAsia" w:ascii="仿宋" w:hAnsi="仿宋" w:eastAsia="仿宋" w:cs="仿宋"/>
          <w:sz w:val="28"/>
          <w:szCs w:val="28"/>
        </w:rPr>
        <w:t>数据恢复高级工程师</w:t>
      </w:r>
    </w:p>
    <w:p w14:paraId="18ADBE64">
      <w:pPr>
        <w:pStyle w:val="39"/>
        <w:numPr>
          <w:ilvl w:val="0"/>
          <w:numId w:val="3"/>
        </w:numPr>
        <w:spacing w:line="360" w:lineRule="auto"/>
        <w:ind w:firstLineChars="0"/>
        <w:rPr>
          <w:rFonts w:hint="eastAsia" w:ascii="仿宋" w:hAnsi="仿宋" w:eastAsia="仿宋" w:cs="仿宋"/>
          <w:sz w:val="28"/>
          <w:szCs w:val="28"/>
        </w:rPr>
      </w:pPr>
      <w:r>
        <w:rPr>
          <w:rFonts w:hint="eastAsia" w:ascii="仿宋" w:hAnsi="仿宋" w:eastAsia="仿宋" w:cs="仿宋"/>
          <w:sz w:val="28"/>
          <w:szCs w:val="28"/>
        </w:rPr>
        <w:t>安全运维高级工程师</w:t>
      </w:r>
    </w:p>
    <w:p w14:paraId="20379F76">
      <w:pPr>
        <w:spacing w:line="360" w:lineRule="auto"/>
        <w:ind w:left="480"/>
        <w:rPr>
          <w:rFonts w:hint="eastAsia" w:ascii="仿宋" w:hAnsi="仿宋" w:eastAsia="仿宋" w:cs="仿宋"/>
          <w:sz w:val="28"/>
          <w:szCs w:val="28"/>
        </w:rPr>
      </w:pPr>
      <w:r>
        <w:rPr>
          <w:rFonts w:hint="eastAsia" w:ascii="仿宋" w:hAnsi="仿宋" w:eastAsia="仿宋" w:cs="仿宋"/>
          <w:sz w:val="28"/>
          <w:szCs w:val="28"/>
        </w:rPr>
        <w:t>以上证书需提供工程师社保证明材料及证书扫描件</w:t>
      </w:r>
    </w:p>
    <w:p w14:paraId="00AB72E8">
      <w:pPr>
        <w:spacing w:line="360" w:lineRule="auto"/>
        <w:rPr>
          <w:rFonts w:hint="eastAsia" w:eastAsia="仿宋" w:asciiTheme="minorEastAsia" w:hAnsiTheme="minorEastAsia"/>
          <w:b/>
          <w:bCs/>
          <w:sz w:val="24"/>
          <w:szCs w:val="24"/>
          <w:lang w:val="en-US" w:eastAsia="zh-CN"/>
        </w:rPr>
      </w:pPr>
      <w:r>
        <w:rPr>
          <w:rFonts w:hint="eastAsia" w:ascii="仿宋" w:hAnsi="仿宋" w:eastAsia="仿宋" w:cs="仿宋"/>
          <w:b/>
          <w:bCs/>
          <w:sz w:val="28"/>
          <w:szCs w:val="28"/>
        </w:rPr>
        <w:t>8、</w:t>
      </w:r>
      <w:r>
        <w:rPr>
          <w:rFonts w:hint="eastAsia" w:ascii="仿宋" w:hAnsi="仿宋" w:eastAsia="仿宋" w:cs="仿宋"/>
          <w:b/>
          <w:bCs/>
          <w:sz w:val="28"/>
          <w:szCs w:val="28"/>
          <w:lang w:val="en-US" w:eastAsia="zh-CN"/>
        </w:rPr>
        <w:t>需</w:t>
      </w:r>
      <w:r>
        <w:rPr>
          <w:rFonts w:hint="eastAsia" w:ascii="仿宋" w:hAnsi="仿宋" w:eastAsia="仿宋" w:cs="仿宋"/>
          <w:b/>
          <w:bCs/>
          <w:sz w:val="28"/>
          <w:szCs w:val="28"/>
        </w:rPr>
        <w:t>提供综合性三级甲等医院</w:t>
      </w:r>
      <w:bookmarkStart w:id="0" w:name="_GoBack"/>
      <w:bookmarkEnd w:id="0"/>
      <w:r>
        <w:rPr>
          <w:rFonts w:hint="eastAsia" w:ascii="仿宋" w:hAnsi="仿宋" w:eastAsia="仿宋" w:cs="仿宋"/>
          <w:b/>
          <w:bCs/>
          <w:sz w:val="28"/>
          <w:szCs w:val="28"/>
        </w:rPr>
        <w:t>实际案例，提供合同复印件</w:t>
      </w:r>
      <w:r>
        <w:rPr>
          <w:rFonts w:hint="eastAsia" w:ascii="仿宋" w:hAnsi="仿宋" w:eastAsia="仿宋" w:cs="仿宋"/>
          <w:b/>
          <w:bCs/>
          <w:sz w:val="28"/>
          <w:szCs w:val="28"/>
          <w:lang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Microsoft Sans Serif">
    <w:panose1 w:val="020B0604020202020204"/>
    <w:charset w:val="00"/>
    <w:family w:val="swiss"/>
    <w:pitch w:val="default"/>
    <w:sig w:usb0="E5002EFF" w:usb1="C000605B" w:usb2="00000029" w:usb3="00000000" w:csb0="200101FF" w:csb1="2028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6EB869"/>
    <w:multiLevelType w:val="singleLevel"/>
    <w:tmpl w:val="836EB869"/>
    <w:lvl w:ilvl="0" w:tentative="0">
      <w:start w:val="1"/>
      <w:numFmt w:val="chineseCounting"/>
      <w:suff w:val="nothing"/>
      <w:lvlText w:val="%1、"/>
      <w:lvlJc w:val="left"/>
      <w:rPr>
        <w:rFonts w:hint="eastAsia"/>
      </w:rPr>
    </w:lvl>
  </w:abstractNum>
  <w:abstractNum w:abstractNumId="1">
    <w:nsid w:val="62017E7B"/>
    <w:multiLevelType w:val="multilevel"/>
    <w:tmpl w:val="62017E7B"/>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2">
    <w:nsid w:val="6BCF36B0"/>
    <w:multiLevelType w:val="multilevel"/>
    <w:tmpl w:val="6BCF36B0"/>
    <w:lvl w:ilvl="0" w:tentative="0">
      <w:start w:val="1"/>
      <w:numFmt w:val="decimal"/>
      <w:pStyle w:val="2"/>
      <w:lvlText w:val="%1"/>
      <w:lvlJc w:val="left"/>
      <w:pPr>
        <w:ind w:left="432" w:hanging="432"/>
      </w:pPr>
      <w:rPr>
        <w:rFonts w:hint="eastAsia"/>
      </w:rPr>
    </w:lvl>
    <w:lvl w:ilvl="1" w:tentative="0">
      <w:start w:val="1"/>
      <w:numFmt w:val="decimal"/>
      <w:pStyle w:val="3"/>
      <w:lvlText w:val="%1.%2"/>
      <w:lvlJc w:val="left"/>
      <w:pPr>
        <w:ind w:left="576" w:hanging="576"/>
      </w:pPr>
      <w:rPr>
        <w:b w:val="0"/>
        <w:bCs w:val="0"/>
        <w:i w:val="0"/>
        <w:iCs w:val="0"/>
        <w:caps w:val="0"/>
        <w:smallCaps w:val="0"/>
        <w:strike w:val="0"/>
        <w:dstrike w:val="0"/>
        <w:outline w:val="0"/>
        <w:shadow w:val="0"/>
        <w:emboss w:val="0"/>
        <w:imprint w:val="0"/>
        <w:snapToGrid w:val="0"/>
        <w:vanish w:val="0"/>
        <w:color w:val="000000"/>
        <w:spacing w:val="0"/>
        <w:w w:val="0"/>
        <w:kern w:val="0"/>
        <w:position w:val="0"/>
        <w:sz w:val="0"/>
        <w:szCs w:val="0"/>
        <w:u w:val="none" w:color="000000"/>
        <w:shd w:val="clear" w:color="000000" w:fill="000000"/>
        <w:vertAlign w:val="baseline"/>
        <w:lang w:val="zh-CN" w:eastAsia="zh-CN" w:bidi="zh-CN"/>
      </w:rPr>
    </w:lvl>
    <w:lvl w:ilvl="2" w:tentative="0">
      <w:start w:val="1"/>
      <w:numFmt w:val="decimal"/>
      <w:pStyle w:val="4"/>
      <w:lvlText w:val="%1.%2.%3"/>
      <w:lvlJc w:val="left"/>
      <w:pPr>
        <w:ind w:left="720" w:hanging="720"/>
      </w:pPr>
      <w:rPr>
        <w:rFonts w:hint="eastAsia"/>
        <w:b w:val="0"/>
        <w:bCs w:val="0"/>
        <w:i w:val="0"/>
        <w:iCs w:val="0"/>
        <w:caps w:val="0"/>
        <w:smallCaps w:val="0"/>
        <w:strike w:val="0"/>
        <w:dstrike w:val="0"/>
        <w:outline w:val="0"/>
        <w:shadow w:val="0"/>
        <w:emboss w:val="0"/>
        <w:imprint w:val="0"/>
        <w:snapToGrid w:val="0"/>
        <w:vanish w:val="0"/>
        <w:color w:val="000000"/>
        <w:spacing w:val="0"/>
        <w:w w:val="0"/>
        <w:kern w:val="0"/>
        <w:position w:val="0"/>
        <w:sz w:val="0"/>
        <w:szCs w:val="0"/>
        <w:u w:val="none" w:color="000000"/>
        <w:shd w:val="clear" w:color="000000" w:fill="000000"/>
        <w:vertAlign w:val="baseline"/>
        <w:lang w:val="zh-CN" w:eastAsia="zh-CN" w:bidi="zh-CN"/>
      </w:rPr>
    </w:lvl>
    <w:lvl w:ilvl="3" w:tentative="0">
      <w:start w:val="1"/>
      <w:numFmt w:val="decimal"/>
      <w:pStyle w:val="5"/>
      <w:lvlText w:val="%1.%2.%3.%4"/>
      <w:lvlJc w:val="left"/>
      <w:pPr>
        <w:ind w:left="864" w:hanging="864"/>
      </w:pPr>
      <w:rPr>
        <w:rFonts w:hint="eastAsia"/>
      </w:rPr>
    </w:lvl>
    <w:lvl w:ilvl="4" w:tentative="0">
      <w:start w:val="1"/>
      <w:numFmt w:val="decimal"/>
      <w:pStyle w:val="6"/>
      <w:lvlText w:val="%1.%2.%3.%4.%5"/>
      <w:lvlJc w:val="left"/>
      <w:pPr>
        <w:ind w:left="1008" w:hanging="1008"/>
      </w:pPr>
      <w:rPr>
        <w:rFonts w:hint="eastAsia"/>
      </w:rPr>
    </w:lvl>
    <w:lvl w:ilvl="5" w:tentative="0">
      <w:start w:val="1"/>
      <w:numFmt w:val="decimal"/>
      <w:pStyle w:val="7"/>
      <w:lvlText w:val="%1.%2.%3.%4.%5.%6"/>
      <w:lvlJc w:val="left"/>
      <w:pPr>
        <w:ind w:left="1152" w:hanging="1152"/>
      </w:pPr>
      <w:rPr>
        <w:rFonts w:hint="eastAsia"/>
      </w:rPr>
    </w:lvl>
    <w:lvl w:ilvl="6" w:tentative="0">
      <w:start w:val="1"/>
      <w:numFmt w:val="decimal"/>
      <w:pStyle w:val="8"/>
      <w:lvlText w:val="%1.%2.%3.%4.%5.%6.%7"/>
      <w:lvlJc w:val="left"/>
      <w:pPr>
        <w:ind w:left="1296" w:hanging="1296"/>
      </w:pPr>
      <w:rPr>
        <w:rFonts w:hint="eastAsia"/>
      </w:rPr>
    </w:lvl>
    <w:lvl w:ilvl="7" w:tentative="0">
      <w:start w:val="1"/>
      <w:numFmt w:val="decimal"/>
      <w:pStyle w:val="9"/>
      <w:lvlText w:val="%1.%2.%3.%4.%5.%6.%7.%8"/>
      <w:lvlJc w:val="left"/>
      <w:pPr>
        <w:ind w:left="1440" w:hanging="1440"/>
      </w:pPr>
      <w:rPr>
        <w:rFonts w:hint="eastAsia"/>
      </w:rPr>
    </w:lvl>
    <w:lvl w:ilvl="8" w:tentative="0">
      <w:start w:val="1"/>
      <w:numFmt w:val="decimal"/>
      <w:pStyle w:val="10"/>
      <w:lvlText w:val="%1.%2.%3.%4.%5.%6.%7.%8.%9"/>
      <w:lvlJc w:val="left"/>
      <w:pPr>
        <w:ind w:left="1584" w:hanging="1584"/>
      </w:pPr>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IwYTkwYzE4YzA2ZWJkNTI0NGI5YWJmNThkNTMzZGYifQ=="/>
  </w:docVars>
  <w:rsids>
    <w:rsidRoot w:val="003B13E2"/>
    <w:rsid w:val="001A3B60"/>
    <w:rsid w:val="003B13E2"/>
    <w:rsid w:val="004142CD"/>
    <w:rsid w:val="005276BF"/>
    <w:rsid w:val="0073529F"/>
    <w:rsid w:val="007B7E80"/>
    <w:rsid w:val="00851677"/>
    <w:rsid w:val="00891DCE"/>
    <w:rsid w:val="00BF52BD"/>
    <w:rsid w:val="00CA33CF"/>
    <w:rsid w:val="00CD7312"/>
    <w:rsid w:val="00DA453F"/>
    <w:rsid w:val="00E25B8A"/>
    <w:rsid w:val="00E41F37"/>
    <w:rsid w:val="00EB743E"/>
    <w:rsid w:val="01856322"/>
    <w:rsid w:val="01966C21"/>
    <w:rsid w:val="0363479C"/>
    <w:rsid w:val="03A72272"/>
    <w:rsid w:val="03B16AEB"/>
    <w:rsid w:val="04267B2D"/>
    <w:rsid w:val="043F0BEF"/>
    <w:rsid w:val="04412B42"/>
    <w:rsid w:val="055055A3"/>
    <w:rsid w:val="05ED2F51"/>
    <w:rsid w:val="0687062B"/>
    <w:rsid w:val="06A905A2"/>
    <w:rsid w:val="06AA1884"/>
    <w:rsid w:val="06AB256C"/>
    <w:rsid w:val="06EE4206"/>
    <w:rsid w:val="06F37A6F"/>
    <w:rsid w:val="06F51A39"/>
    <w:rsid w:val="07267E44"/>
    <w:rsid w:val="077E3328"/>
    <w:rsid w:val="07FD6DF7"/>
    <w:rsid w:val="081163FE"/>
    <w:rsid w:val="0865499C"/>
    <w:rsid w:val="092601C0"/>
    <w:rsid w:val="097C5122"/>
    <w:rsid w:val="0A8F399C"/>
    <w:rsid w:val="0AC27E84"/>
    <w:rsid w:val="0AED6C17"/>
    <w:rsid w:val="0AF142C5"/>
    <w:rsid w:val="0BD75BB1"/>
    <w:rsid w:val="0C160487"/>
    <w:rsid w:val="0D740638"/>
    <w:rsid w:val="0D9A50E8"/>
    <w:rsid w:val="0DD2616E"/>
    <w:rsid w:val="0DF02F5A"/>
    <w:rsid w:val="0E476D2C"/>
    <w:rsid w:val="0F7C2CF7"/>
    <w:rsid w:val="0FC311FD"/>
    <w:rsid w:val="0FFC5BE6"/>
    <w:rsid w:val="10207B26"/>
    <w:rsid w:val="1028379A"/>
    <w:rsid w:val="104E7E5F"/>
    <w:rsid w:val="106317C1"/>
    <w:rsid w:val="109F7890"/>
    <w:rsid w:val="10CA6BDF"/>
    <w:rsid w:val="112A22DF"/>
    <w:rsid w:val="116D305B"/>
    <w:rsid w:val="118B7221"/>
    <w:rsid w:val="11FF3C31"/>
    <w:rsid w:val="131A32A0"/>
    <w:rsid w:val="13561AB1"/>
    <w:rsid w:val="138E124B"/>
    <w:rsid w:val="13CC1D73"/>
    <w:rsid w:val="145329F8"/>
    <w:rsid w:val="14603C13"/>
    <w:rsid w:val="14F90946"/>
    <w:rsid w:val="15FA1D81"/>
    <w:rsid w:val="16022AE9"/>
    <w:rsid w:val="166B7621"/>
    <w:rsid w:val="16734728"/>
    <w:rsid w:val="167D5269"/>
    <w:rsid w:val="170F26A3"/>
    <w:rsid w:val="17BA052D"/>
    <w:rsid w:val="17E256C1"/>
    <w:rsid w:val="180345B7"/>
    <w:rsid w:val="186D58D3"/>
    <w:rsid w:val="18C179CD"/>
    <w:rsid w:val="190B50EC"/>
    <w:rsid w:val="192E4C7B"/>
    <w:rsid w:val="19A835B8"/>
    <w:rsid w:val="1A2F6BB8"/>
    <w:rsid w:val="1A9F789A"/>
    <w:rsid w:val="1AFA0F74"/>
    <w:rsid w:val="1B603765"/>
    <w:rsid w:val="1CBD4855"/>
    <w:rsid w:val="1D091942"/>
    <w:rsid w:val="1D2B55B8"/>
    <w:rsid w:val="1D5D4359"/>
    <w:rsid w:val="1E311A06"/>
    <w:rsid w:val="1F036BF1"/>
    <w:rsid w:val="1F2D1BBE"/>
    <w:rsid w:val="1FAC4585"/>
    <w:rsid w:val="204131A1"/>
    <w:rsid w:val="21130FE1"/>
    <w:rsid w:val="214430CF"/>
    <w:rsid w:val="219519F6"/>
    <w:rsid w:val="21C27025"/>
    <w:rsid w:val="21F754B0"/>
    <w:rsid w:val="223360B0"/>
    <w:rsid w:val="224F650C"/>
    <w:rsid w:val="22C541CF"/>
    <w:rsid w:val="236F7D00"/>
    <w:rsid w:val="23D902C0"/>
    <w:rsid w:val="23FF3873"/>
    <w:rsid w:val="24134E54"/>
    <w:rsid w:val="246F652F"/>
    <w:rsid w:val="24D30999"/>
    <w:rsid w:val="24F829C8"/>
    <w:rsid w:val="25630D1B"/>
    <w:rsid w:val="25755A44"/>
    <w:rsid w:val="25F56F08"/>
    <w:rsid w:val="27075144"/>
    <w:rsid w:val="27227E1F"/>
    <w:rsid w:val="28924EE2"/>
    <w:rsid w:val="290E3FAE"/>
    <w:rsid w:val="297665B1"/>
    <w:rsid w:val="2A81520E"/>
    <w:rsid w:val="2AE20166"/>
    <w:rsid w:val="2AE80DE9"/>
    <w:rsid w:val="2B204A27"/>
    <w:rsid w:val="2B920D55"/>
    <w:rsid w:val="2C0F4794"/>
    <w:rsid w:val="2C1C3440"/>
    <w:rsid w:val="2C2466D0"/>
    <w:rsid w:val="2C372D41"/>
    <w:rsid w:val="2CAE46E2"/>
    <w:rsid w:val="2CF13D64"/>
    <w:rsid w:val="2D485B6F"/>
    <w:rsid w:val="2E020414"/>
    <w:rsid w:val="2E786A33"/>
    <w:rsid w:val="2FB81261"/>
    <w:rsid w:val="2FED3B46"/>
    <w:rsid w:val="308A2E69"/>
    <w:rsid w:val="326F5B17"/>
    <w:rsid w:val="329F0927"/>
    <w:rsid w:val="32C57C62"/>
    <w:rsid w:val="337C2D08"/>
    <w:rsid w:val="344A3F87"/>
    <w:rsid w:val="34626EAA"/>
    <w:rsid w:val="34FB796B"/>
    <w:rsid w:val="35CF0FC5"/>
    <w:rsid w:val="3619454C"/>
    <w:rsid w:val="36722445"/>
    <w:rsid w:val="369614E1"/>
    <w:rsid w:val="37E8067A"/>
    <w:rsid w:val="38272362"/>
    <w:rsid w:val="38340B7F"/>
    <w:rsid w:val="38534E4E"/>
    <w:rsid w:val="388B2F81"/>
    <w:rsid w:val="396C52DB"/>
    <w:rsid w:val="397C551E"/>
    <w:rsid w:val="39F06F70"/>
    <w:rsid w:val="3A217E73"/>
    <w:rsid w:val="3AD61FCA"/>
    <w:rsid w:val="3B3360B0"/>
    <w:rsid w:val="3B6C2B3C"/>
    <w:rsid w:val="3B7A1437"/>
    <w:rsid w:val="3B84690C"/>
    <w:rsid w:val="3D4F660D"/>
    <w:rsid w:val="3D632551"/>
    <w:rsid w:val="3D7E429F"/>
    <w:rsid w:val="3E86299B"/>
    <w:rsid w:val="3EFF7691"/>
    <w:rsid w:val="3FC1012F"/>
    <w:rsid w:val="40EE65D6"/>
    <w:rsid w:val="4110479E"/>
    <w:rsid w:val="41AF1E20"/>
    <w:rsid w:val="41C71300"/>
    <w:rsid w:val="425B7C9B"/>
    <w:rsid w:val="428716A1"/>
    <w:rsid w:val="4339622E"/>
    <w:rsid w:val="444A7FC7"/>
    <w:rsid w:val="466753B0"/>
    <w:rsid w:val="467F664E"/>
    <w:rsid w:val="472A6809"/>
    <w:rsid w:val="47833F1C"/>
    <w:rsid w:val="47E2253F"/>
    <w:rsid w:val="48C52312"/>
    <w:rsid w:val="48E27DD2"/>
    <w:rsid w:val="49CE64DD"/>
    <w:rsid w:val="4ABB1C1E"/>
    <w:rsid w:val="4AF01898"/>
    <w:rsid w:val="4AF75CF9"/>
    <w:rsid w:val="4B152DA9"/>
    <w:rsid w:val="4B2E23F0"/>
    <w:rsid w:val="4B8D7117"/>
    <w:rsid w:val="4BA97CC9"/>
    <w:rsid w:val="4BD77D9C"/>
    <w:rsid w:val="4BE578AC"/>
    <w:rsid w:val="4C7B3413"/>
    <w:rsid w:val="4C83676C"/>
    <w:rsid w:val="4DE43F27"/>
    <w:rsid w:val="4EB052CB"/>
    <w:rsid w:val="4EBF4B38"/>
    <w:rsid w:val="4FB220CB"/>
    <w:rsid w:val="50351C9C"/>
    <w:rsid w:val="50504BB7"/>
    <w:rsid w:val="50874A7C"/>
    <w:rsid w:val="50C7131D"/>
    <w:rsid w:val="51606A47"/>
    <w:rsid w:val="51894824"/>
    <w:rsid w:val="5212481A"/>
    <w:rsid w:val="52EB476D"/>
    <w:rsid w:val="52EF2FFC"/>
    <w:rsid w:val="53BF2EA4"/>
    <w:rsid w:val="53E23075"/>
    <w:rsid w:val="5520050A"/>
    <w:rsid w:val="55EF09CE"/>
    <w:rsid w:val="57081D47"/>
    <w:rsid w:val="579559F4"/>
    <w:rsid w:val="57A270E0"/>
    <w:rsid w:val="57EB28DD"/>
    <w:rsid w:val="585F75DD"/>
    <w:rsid w:val="58AC2BA6"/>
    <w:rsid w:val="58ED74D9"/>
    <w:rsid w:val="59256E5C"/>
    <w:rsid w:val="59693361"/>
    <w:rsid w:val="5B871DD5"/>
    <w:rsid w:val="5BB71F8E"/>
    <w:rsid w:val="5BC56D23"/>
    <w:rsid w:val="5C9F5A2F"/>
    <w:rsid w:val="5CF83777"/>
    <w:rsid w:val="5E875C48"/>
    <w:rsid w:val="5F5E78A6"/>
    <w:rsid w:val="5F613CB5"/>
    <w:rsid w:val="60DF51CC"/>
    <w:rsid w:val="61153CE3"/>
    <w:rsid w:val="61D928CC"/>
    <w:rsid w:val="61E76F9C"/>
    <w:rsid w:val="62071ED3"/>
    <w:rsid w:val="62586279"/>
    <w:rsid w:val="628F5A13"/>
    <w:rsid w:val="639E277B"/>
    <w:rsid w:val="63B03E93"/>
    <w:rsid w:val="646D1D84"/>
    <w:rsid w:val="65C04BF1"/>
    <w:rsid w:val="65CE23AE"/>
    <w:rsid w:val="65D5377D"/>
    <w:rsid w:val="66390881"/>
    <w:rsid w:val="670C2E68"/>
    <w:rsid w:val="67AA29A7"/>
    <w:rsid w:val="67FC76A6"/>
    <w:rsid w:val="680D18B3"/>
    <w:rsid w:val="686B0145"/>
    <w:rsid w:val="68BB5E0A"/>
    <w:rsid w:val="68C27790"/>
    <w:rsid w:val="697C6BB5"/>
    <w:rsid w:val="69912070"/>
    <w:rsid w:val="69BF737C"/>
    <w:rsid w:val="6A042A38"/>
    <w:rsid w:val="6A8B520E"/>
    <w:rsid w:val="6B8D44DA"/>
    <w:rsid w:val="6B911BF6"/>
    <w:rsid w:val="6BF1263C"/>
    <w:rsid w:val="6C042FCD"/>
    <w:rsid w:val="6C550FEE"/>
    <w:rsid w:val="6C676365"/>
    <w:rsid w:val="6D260D22"/>
    <w:rsid w:val="6E1C5249"/>
    <w:rsid w:val="6E2E60E0"/>
    <w:rsid w:val="6E6A189E"/>
    <w:rsid w:val="6F210A63"/>
    <w:rsid w:val="6F894BFD"/>
    <w:rsid w:val="70282A27"/>
    <w:rsid w:val="702C48A1"/>
    <w:rsid w:val="707F7528"/>
    <w:rsid w:val="70B312E0"/>
    <w:rsid w:val="713C4FB8"/>
    <w:rsid w:val="716B393D"/>
    <w:rsid w:val="717A163C"/>
    <w:rsid w:val="71816E6E"/>
    <w:rsid w:val="725700E0"/>
    <w:rsid w:val="73060194"/>
    <w:rsid w:val="74933140"/>
    <w:rsid w:val="75273889"/>
    <w:rsid w:val="759B259E"/>
    <w:rsid w:val="765B2F9F"/>
    <w:rsid w:val="773B54A3"/>
    <w:rsid w:val="779416A9"/>
    <w:rsid w:val="77C81949"/>
    <w:rsid w:val="77EF67F0"/>
    <w:rsid w:val="78175E36"/>
    <w:rsid w:val="781B342A"/>
    <w:rsid w:val="785A7E98"/>
    <w:rsid w:val="78B97DC3"/>
    <w:rsid w:val="78C17E4E"/>
    <w:rsid w:val="794C1B10"/>
    <w:rsid w:val="79533C02"/>
    <w:rsid w:val="79D9725C"/>
    <w:rsid w:val="7A813763"/>
    <w:rsid w:val="7AB12572"/>
    <w:rsid w:val="7B193A89"/>
    <w:rsid w:val="7B4D44D8"/>
    <w:rsid w:val="7B9A04D8"/>
    <w:rsid w:val="7BC65BA9"/>
    <w:rsid w:val="7C290862"/>
    <w:rsid w:val="7CCD11BA"/>
    <w:rsid w:val="7CF90201"/>
    <w:rsid w:val="7D123B4E"/>
    <w:rsid w:val="7D364FB1"/>
    <w:rsid w:val="7DED1FB1"/>
    <w:rsid w:val="7E582D05"/>
    <w:rsid w:val="7E9C0E44"/>
    <w:rsid w:val="7FDE17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qFormat="1" w:uiPriority="99" w:semiHidden="0"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8"/>
    <w:qFormat/>
    <w:uiPriority w:val="0"/>
    <w:pPr>
      <w:keepNext/>
      <w:keepLines/>
      <w:widowControl/>
      <w:numPr>
        <w:ilvl w:val="0"/>
        <w:numId w:val="1"/>
      </w:numPr>
      <w:adjustRightInd w:val="0"/>
      <w:snapToGrid w:val="0"/>
      <w:spacing w:line="360" w:lineRule="auto"/>
      <w:jc w:val="left"/>
      <w:outlineLvl w:val="0"/>
    </w:pPr>
    <w:rPr>
      <w:rFonts w:ascii="Tahoma" w:hAnsi="Tahoma" w:cs="Times New Roman"/>
      <w:b/>
      <w:bCs/>
      <w:kern w:val="44"/>
      <w:sz w:val="28"/>
      <w:szCs w:val="44"/>
    </w:rPr>
  </w:style>
  <w:style w:type="paragraph" w:styleId="3">
    <w:name w:val="heading 2"/>
    <w:basedOn w:val="1"/>
    <w:next w:val="1"/>
    <w:link w:val="40"/>
    <w:unhideWhenUsed/>
    <w:qFormat/>
    <w:uiPriority w:val="9"/>
    <w:pPr>
      <w:keepNext/>
      <w:keepLines/>
      <w:widowControl/>
      <w:numPr>
        <w:ilvl w:val="1"/>
        <w:numId w:val="1"/>
      </w:numPr>
      <w:adjustRightInd w:val="0"/>
      <w:snapToGrid w:val="0"/>
      <w:spacing w:before="260" w:after="260" w:line="415" w:lineRule="auto"/>
      <w:jc w:val="left"/>
      <w:outlineLvl w:val="1"/>
    </w:pPr>
    <w:rPr>
      <w:rFonts w:ascii="宋体" w:hAnsi="宋体" w:eastAsia="宋体" w:cs="Times New Roman"/>
      <w:b/>
      <w:bCs/>
      <w:kern w:val="0"/>
      <w:sz w:val="24"/>
      <w:szCs w:val="32"/>
    </w:rPr>
  </w:style>
  <w:style w:type="paragraph" w:styleId="4">
    <w:name w:val="heading 3"/>
    <w:basedOn w:val="1"/>
    <w:next w:val="1"/>
    <w:link w:val="30"/>
    <w:unhideWhenUsed/>
    <w:qFormat/>
    <w:uiPriority w:val="0"/>
    <w:pPr>
      <w:keepNext/>
      <w:keepLines/>
      <w:widowControl/>
      <w:numPr>
        <w:ilvl w:val="2"/>
        <w:numId w:val="1"/>
      </w:numPr>
      <w:adjustRightInd w:val="0"/>
      <w:snapToGrid w:val="0"/>
      <w:spacing w:before="260" w:after="260" w:line="415" w:lineRule="auto"/>
      <w:jc w:val="left"/>
      <w:outlineLvl w:val="2"/>
    </w:pPr>
    <w:rPr>
      <w:rFonts w:ascii="宋体" w:hAnsi="宋体" w:eastAsia="宋体" w:cs="Times New Roman"/>
      <w:b/>
      <w:bCs/>
      <w:kern w:val="0"/>
      <w:sz w:val="24"/>
      <w:szCs w:val="32"/>
    </w:rPr>
  </w:style>
  <w:style w:type="paragraph" w:styleId="5">
    <w:name w:val="heading 4"/>
    <w:basedOn w:val="1"/>
    <w:next w:val="1"/>
    <w:link w:val="31"/>
    <w:semiHidden/>
    <w:unhideWhenUsed/>
    <w:qFormat/>
    <w:uiPriority w:val="0"/>
    <w:pPr>
      <w:keepNext/>
      <w:keepLines/>
      <w:widowControl/>
      <w:numPr>
        <w:ilvl w:val="3"/>
        <w:numId w:val="1"/>
      </w:numPr>
      <w:adjustRightInd w:val="0"/>
      <w:snapToGrid w:val="0"/>
      <w:spacing w:before="280" w:after="290" w:line="376" w:lineRule="auto"/>
      <w:jc w:val="left"/>
      <w:outlineLvl w:val="3"/>
    </w:pPr>
    <w:rPr>
      <w:rFonts w:ascii="Cambria" w:hAnsi="Cambria" w:eastAsia="宋体" w:cs="Times New Roman"/>
      <w:b/>
      <w:bCs/>
      <w:kern w:val="0"/>
      <w:sz w:val="28"/>
      <w:szCs w:val="28"/>
    </w:rPr>
  </w:style>
  <w:style w:type="paragraph" w:styleId="6">
    <w:name w:val="heading 5"/>
    <w:basedOn w:val="1"/>
    <w:next w:val="1"/>
    <w:link w:val="32"/>
    <w:semiHidden/>
    <w:unhideWhenUsed/>
    <w:qFormat/>
    <w:uiPriority w:val="0"/>
    <w:pPr>
      <w:keepNext/>
      <w:keepLines/>
      <w:widowControl/>
      <w:numPr>
        <w:ilvl w:val="4"/>
        <w:numId w:val="1"/>
      </w:numPr>
      <w:adjustRightInd w:val="0"/>
      <w:snapToGrid w:val="0"/>
      <w:spacing w:before="280" w:after="290" w:line="376" w:lineRule="auto"/>
      <w:jc w:val="left"/>
      <w:outlineLvl w:val="4"/>
    </w:pPr>
    <w:rPr>
      <w:rFonts w:ascii="Tahoma" w:hAnsi="Tahoma" w:eastAsia="微软雅黑" w:cs="Times New Roman"/>
      <w:b/>
      <w:bCs/>
      <w:kern w:val="0"/>
      <w:sz w:val="28"/>
      <w:szCs w:val="28"/>
    </w:rPr>
  </w:style>
  <w:style w:type="paragraph" w:styleId="7">
    <w:name w:val="heading 6"/>
    <w:basedOn w:val="1"/>
    <w:next w:val="1"/>
    <w:link w:val="33"/>
    <w:semiHidden/>
    <w:unhideWhenUsed/>
    <w:qFormat/>
    <w:uiPriority w:val="0"/>
    <w:pPr>
      <w:keepNext/>
      <w:keepLines/>
      <w:widowControl/>
      <w:numPr>
        <w:ilvl w:val="5"/>
        <w:numId w:val="1"/>
      </w:numPr>
      <w:adjustRightInd w:val="0"/>
      <w:snapToGrid w:val="0"/>
      <w:spacing w:before="240" w:after="64" w:line="320" w:lineRule="auto"/>
      <w:jc w:val="left"/>
      <w:outlineLvl w:val="5"/>
    </w:pPr>
    <w:rPr>
      <w:rFonts w:ascii="Cambria" w:hAnsi="Cambria" w:eastAsia="宋体" w:cs="Times New Roman"/>
      <w:b/>
      <w:bCs/>
      <w:kern w:val="0"/>
      <w:sz w:val="24"/>
      <w:szCs w:val="24"/>
    </w:rPr>
  </w:style>
  <w:style w:type="paragraph" w:styleId="8">
    <w:name w:val="heading 7"/>
    <w:basedOn w:val="1"/>
    <w:next w:val="1"/>
    <w:link w:val="34"/>
    <w:semiHidden/>
    <w:unhideWhenUsed/>
    <w:qFormat/>
    <w:uiPriority w:val="0"/>
    <w:pPr>
      <w:keepNext/>
      <w:keepLines/>
      <w:widowControl/>
      <w:numPr>
        <w:ilvl w:val="6"/>
        <w:numId w:val="1"/>
      </w:numPr>
      <w:adjustRightInd w:val="0"/>
      <w:snapToGrid w:val="0"/>
      <w:spacing w:before="240" w:after="64" w:line="320" w:lineRule="auto"/>
      <w:jc w:val="left"/>
      <w:outlineLvl w:val="6"/>
    </w:pPr>
    <w:rPr>
      <w:rFonts w:ascii="Tahoma" w:hAnsi="Tahoma" w:eastAsia="微软雅黑" w:cs="Times New Roman"/>
      <w:b/>
      <w:bCs/>
      <w:kern w:val="0"/>
      <w:sz w:val="24"/>
      <w:szCs w:val="24"/>
    </w:rPr>
  </w:style>
  <w:style w:type="paragraph" w:styleId="9">
    <w:name w:val="heading 8"/>
    <w:basedOn w:val="1"/>
    <w:next w:val="1"/>
    <w:link w:val="35"/>
    <w:semiHidden/>
    <w:unhideWhenUsed/>
    <w:qFormat/>
    <w:uiPriority w:val="0"/>
    <w:pPr>
      <w:keepNext/>
      <w:keepLines/>
      <w:widowControl/>
      <w:numPr>
        <w:ilvl w:val="7"/>
        <w:numId w:val="1"/>
      </w:numPr>
      <w:adjustRightInd w:val="0"/>
      <w:snapToGrid w:val="0"/>
      <w:spacing w:before="240" w:after="64" w:line="320" w:lineRule="auto"/>
      <w:jc w:val="left"/>
      <w:outlineLvl w:val="7"/>
    </w:pPr>
    <w:rPr>
      <w:rFonts w:ascii="Cambria" w:hAnsi="Cambria" w:eastAsia="宋体" w:cs="Times New Roman"/>
      <w:kern w:val="0"/>
      <w:sz w:val="24"/>
      <w:szCs w:val="24"/>
    </w:rPr>
  </w:style>
  <w:style w:type="paragraph" w:styleId="10">
    <w:name w:val="heading 9"/>
    <w:basedOn w:val="1"/>
    <w:next w:val="1"/>
    <w:link w:val="36"/>
    <w:semiHidden/>
    <w:unhideWhenUsed/>
    <w:qFormat/>
    <w:uiPriority w:val="0"/>
    <w:pPr>
      <w:keepNext/>
      <w:keepLines/>
      <w:widowControl/>
      <w:numPr>
        <w:ilvl w:val="8"/>
        <w:numId w:val="1"/>
      </w:numPr>
      <w:adjustRightInd w:val="0"/>
      <w:snapToGrid w:val="0"/>
      <w:spacing w:before="240" w:after="64" w:line="320" w:lineRule="auto"/>
      <w:jc w:val="left"/>
      <w:outlineLvl w:val="8"/>
    </w:pPr>
    <w:rPr>
      <w:rFonts w:ascii="Cambria" w:hAnsi="Cambria" w:eastAsia="宋体" w:cs="Times New Roman"/>
      <w:kern w:val="0"/>
      <w:szCs w:val="21"/>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next w:val="1"/>
    <w:qFormat/>
    <w:uiPriority w:val="0"/>
    <w:rPr>
      <w:rFonts w:ascii="Calibri" w:hAnsi="Calibri" w:eastAsia="宋体" w:cs="Times New Roman"/>
    </w:rPr>
  </w:style>
  <w:style w:type="paragraph" w:styleId="12">
    <w:name w:val="Body Text"/>
    <w:basedOn w:val="1"/>
    <w:qFormat/>
    <w:uiPriority w:val="0"/>
    <w:pPr>
      <w:spacing w:after="120"/>
    </w:pPr>
    <w:rPr>
      <w:rFonts w:ascii="Calibri" w:hAnsi="Calibri" w:eastAsia="宋体" w:cs="Times New Roman"/>
    </w:rPr>
  </w:style>
  <w:style w:type="paragraph" w:styleId="13">
    <w:name w:val="Block Text"/>
    <w:basedOn w:val="1"/>
    <w:unhideWhenUsed/>
    <w:qFormat/>
    <w:uiPriority w:val="99"/>
    <w:pPr>
      <w:ind w:left="-718" w:leftChars="-342" w:right="-512" w:rightChars="-244" w:firstLine="560" w:firstLineChars="200"/>
    </w:pPr>
    <w:rPr>
      <w:sz w:val="28"/>
      <w:szCs w:val="24"/>
    </w:rPr>
  </w:style>
  <w:style w:type="paragraph" w:styleId="14">
    <w:name w:val="Plain Text"/>
    <w:basedOn w:val="1"/>
    <w:qFormat/>
    <w:uiPriority w:val="0"/>
    <w:rPr>
      <w:rFonts w:hAnsi="Courier New" w:cs="Times New Roman"/>
      <w:szCs w:val="20"/>
    </w:rPr>
  </w:style>
  <w:style w:type="paragraph" w:styleId="15">
    <w:name w:val="Body Text Indent 2"/>
    <w:basedOn w:val="1"/>
    <w:qFormat/>
    <w:uiPriority w:val="0"/>
    <w:rPr>
      <w:rFonts w:ascii="Arial" w:hAnsi="Arial" w:eastAsia="仿宋_GB2312"/>
      <w:b/>
    </w:rPr>
  </w:style>
  <w:style w:type="paragraph" w:styleId="16">
    <w:name w:val="footer"/>
    <w:basedOn w:val="1"/>
    <w:link w:val="27"/>
    <w:unhideWhenUsed/>
    <w:qFormat/>
    <w:uiPriority w:val="99"/>
    <w:pPr>
      <w:tabs>
        <w:tab w:val="center" w:pos="4153"/>
        <w:tab w:val="right" w:pos="8306"/>
      </w:tabs>
      <w:snapToGrid w:val="0"/>
      <w:jc w:val="left"/>
    </w:pPr>
    <w:rPr>
      <w:sz w:val="18"/>
      <w:szCs w:val="18"/>
    </w:rPr>
  </w:style>
  <w:style w:type="paragraph" w:styleId="17">
    <w:name w:val="header"/>
    <w:basedOn w:val="1"/>
    <w:link w:val="26"/>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toc 2"/>
    <w:basedOn w:val="1"/>
    <w:next w:val="1"/>
    <w:unhideWhenUsed/>
    <w:qFormat/>
    <w:uiPriority w:val="39"/>
    <w:pPr>
      <w:ind w:left="420" w:leftChars="200"/>
    </w:pPr>
  </w:style>
  <w:style w:type="paragraph" w:styleId="19">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21">
    <w:name w:val="Table Grid"/>
    <w:basedOn w:val="2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Emphasis"/>
    <w:basedOn w:val="22"/>
    <w:qFormat/>
    <w:uiPriority w:val="20"/>
    <w:rPr>
      <w:i/>
    </w:rPr>
  </w:style>
  <w:style w:type="character" w:styleId="24">
    <w:name w:val="Hyperlink"/>
    <w:basedOn w:val="22"/>
    <w:semiHidden/>
    <w:unhideWhenUsed/>
    <w:qFormat/>
    <w:uiPriority w:val="99"/>
    <w:rPr>
      <w:color w:val="0000FF"/>
      <w:u w:val="single"/>
    </w:rPr>
  </w:style>
  <w:style w:type="paragraph" w:customStyle="1" w:styleId="25">
    <w:name w:val="正文-公1"/>
    <w:basedOn w:val="1"/>
    <w:qFormat/>
    <w:uiPriority w:val="0"/>
    <w:pPr>
      <w:ind w:firstLine="200" w:firstLineChars="200"/>
    </w:pPr>
    <w:rPr>
      <w:color w:val="000000"/>
    </w:rPr>
  </w:style>
  <w:style w:type="character" w:customStyle="1" w:styleId="26">
    <w:name w:val="页眉 字符"/>
    <w:basedOn w:val="22"/>
    <w:link w:val="17"/>
    <w:qFormat/>
    <w:uiPriority w:val="99"/>
    <w:rPr>
      <w:sz w:val="18"/>
      <w:szCs w:val="18"/>
    </w:rPr>
  </w:style>
  <w:style w:type="character" w:customStyle="1" w:styleId="27">
    <w:name w:val="页脚 字符"/>
    <w:basedOn w:val="22"/>
    <w:link w:val="16"/>
    <w:qFormat/>
    <w:uiPriority w:val="99"/>
    <w:rPr>
      <w:sz w:val="18"/>
      <w:szCs w:val="18"/>
    </w:rPr>
  </w:style>
  <w:style w:type="character" w:customStyle="1" w:styleId="28">
    <w:name w:val="标题 1 字符"/>
    <w:basedOn w:val="22"/>
    <w:link w:val="2"/>
    <w:qFormat/>
    <w:uiPriority w:val="0"/>
    <w:rPr>
      <w:rFonts w:ascii="Tahoma" w:hAnsi="Tahoma" w:cs="Times New Roman"/>
      <w:b/>
      <w:bCs/>
      <w:kern w:val="44"/>
      <w:sz w:val="28"/>
      <w:szCs w:val="44"/>
    </w:rPr>
  </w:style>
  <w:style w:type="character" w:customStyle="1" w:styleId="29">
    <w:name w:val="标题 2 字符"/>
    <w:basedOn w:val="22"/>
    <w:link w:val="3"/>
    <w:qFormat/>
    <w:uiPriority w:val="9"/>
    <w:rPr>
      <w:rFonts w:ascii="宋体" w:hAnsi="宋体" w:eastAsia="宋体" w:cs="Times New Roman"/>
      <w:b/>
      <w:bCs/>
      <w:kern w:val="0"/>
      <w:sz w:val="24"/>
      <w:szCs w:val="32"/>
    </w:rPr>
  </w:style>
  <w:style w:type="character" w:customStyle="1" w:styleId="30">
    <w:name w:val="标题 3 字符"/>
    <w:basedOn w:val="22"/>
    <w:link w:val="4"/>
    <w:qFormat/>
    <w:uiPriority w:val="0"/>
    <w:rPr>
      <w:rFonts w:ascii="宋体" w:hAnsi="宋体" w:eastAsia="宋体" w:cs="Times New Roman"/>
      <w:b/>
      <w:bCs/>
      <w:kern w:val="0"/>
      <w:sz w:val="24"/>
      <w:szCs w:val="32"/>
    </w:rPr>
  </w:style>
  <w:style w:type="character" w:customStyle="1" w:styleId="31">
    <w:name w:val="标题 4 字符"/>
    <w:basedOn w:val="22"/>
    <w:link w:val="5"/>
    <w:semiHidden/>
    <w:qFormat/>
    <w:uiPriority w:val="0"/>
    <w:rPr>
      <w:rFonts w:ascii="Cambria" w:hAnsi="Cambria" w:eastAsia="宋体" w:cs="Times New Roman"/>
      <w:b/>
      <w:bCs/>
      <w:kern w:val="0"/>
      <w:sz w:val="28"/>
      <w:szCs w:val="28"/>
    </w:rPr>
  </w:style>
  <w:style w:type="character" w:customStyle="1" w:styleId="32">
    <w:name w:val="标题 5 字符"/>
    <w:basedOn w:val="22"/>
    <w:link w:val="6"/>
    <w:semiHidden/>
    <w:qFormat/>
    <w:uiPriority w:val="0"/>
    <w:rPr>
      <w:rFonts w:ascii="Tahoma" w:hAnsi="Tahoma" w:eastAsia="微软雅黑" w:cs="Times New Roman"/>
      <w:b/>
      <w:bCs/>
      <w:kern w:val="0"/>
      <w:sz w:val="28"/>
      <w:szCs w:val="28"/>
    </w:rPr>
  </w:style>
  <w:style w:type="character" w:customStyle="1" w:styleId="33">
    <w:name w:val="标题 6 字符"/>
    <w:basedOn w:val="22"/>
    <w:link w:val="7"/>
    <w:semiHidden/>
    <w:qFormat/>
    <w:uiPriority w:val="0"/>
    <w:rPr>
      <w:rFonts w:ascii="Cambria" w:hAnsi="Cambria" w:eastAsia="宋体" w:cs="Times New Roman"/>
      <w:b/>
      <w:bCs/>
      <w:kern w:val="0"/>
      <w:sz w:val="24"/>
      <w:szCs w:val="24"/>
    </w:rPr>
  </w:style>
  <w:style w:type="character" w:customStyle="1" w:styleId="34">
    <w:name w:val="标题 7 字符"/>
    <w:basedOn w:val="22"/>
    <w:link w:val="8"/>
    <w:semiHidden/>
    <w:qFormat/>
    <w:uiPriority w:val="0"/>
    <w:rPr>
      <w:rFonts w:ascii="Tahoma" w:hAnsi="Tahoma" w:eastAsia="微软雅黑" w:cs="Times New Roman"/>
      <w:b/>
      <w:bCs/>
      <w:kern w:val="0"/>
      <w:sz w:val="24"/>
      <w:szCs w:val="24"/>
    </w:rPr>
  </w:style>
  <w:style w:type="character" w:customStyle="1" w:styleId="35">
    <w:name w:val="标题 8 字符"/>
    <w:basedOn w:val="22"/>
    <w:link w:val="9"/>
    <w:semiHidden/>
    <w:qFormat/>
    <w:uiPriority w:val="0"/>
    <w:rPr>
      <w:rFonts w:ascii="Cambria" w:hAnsi="Cambria" w:eastAsia="宋体" w:cs="Times New Roman"/>
      <w:kern w:val="0"/>
      <w:sz w:val="24"/>
      <w:szCs w:val="24"/>
    </w:rPr>
  </w:style>
  <w:style w:type="character" w:customStyle="1" w:styleId="36">
    <w:name w:val="标题 9 字符"/>
    <w:basedOn w:val="22"/>
    <w:link w:val="10"/>
    <w:semiHidden/>
    <w:qFormat/>
    <w:uiPriority w:val="0"/>
    <w:rPr>
      <w:rFonts w:ascii="Cambria" w:hAnsi="Cambria" w:eastAsia="宋体" w:cs="Times New Roman"/>
      <w:kern w:val="0"/>
      <w:szCs w:val="21"/>
    </w:rPr>
  </w:style>
  <w:style w:type="character" w:customStyle="1" w:styleId="37">
    <w:name w:val="NormalCharacter"/>
    <w:qFormat/>
    <w:uiPriority w:val="0"/>
  </w:style>
  <w:style w:type="paragraph" w:customStyle="1" w:styleId="38">
    <w:name w:val="B表格正文"/>
    <w:basedOn w:val="1"/>
    <w:qFormat/>
    <w:uiPriority w:val="0"/>
    <w:pPr>
      <w:widowControl/>
      <w:jc w:val="left"/>
    </w:pPr>
    <w:rPr>
      <w:rFonts w:ascii="Calibri" w:hAnsi="Calibri" w:eastAsia="黑体" w:cs="Times New Roman"/>
      <w:szCs w:val="21"/>
    </w:rPr>
  </w:style>
  <w:style w:type="paragraph" w:styleId="39">
    <w:name w:val="List Paragraph"/>
    <w:basedOn w:val="1"/>
    <w:qFormat/>
    <w:uiPriority w:val="0"/>
    <w:pPr>
      <w:widowControl/>
      <w:adjustRightInd w:val="0"/>
      <w:snapToGrid w:val="0"/>
      <w:spacing w:after="200"/>
      <w:ind w:firstLine="420" w:firstLineChars="200"/>
      <w:jc w:val="left"/>
    </w:pPr>
    <w:rPr>
      <w:rFonts w:ascii="Tahoma" w:hAnsi="Tahoma" w:eastAsia="微软雅黑" w:cs="Times New Roman"/>
      <w:kern w:val="0"/>
      <w:sz w:val="22"/>
      <w:szCs w:val="22"/>
    </w:rPr>
  </w:style>
  <w:style w:type="character" w:customStyle="1" w:styleId="40">
    <w:name w:val="标题 2 Char"/>
    <w:link w:val="3"/>
    <w:qFormat/>
    <w:uiPriority w:val="0"/>
    <w:rPr>
      <w:rFonts w:ascii="Arial" w:hAnsi="Arial" w:eastAsia="黑体" w:cs="Times New Roman"/>
      <w:b/>
      <w:sz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7</Pages>
  <Words>442</Words>
  <Characters>482</Characters>
  <Lines>12</Lines>
  <Paragraphs>3</Paragraphs>
  <TotalTime>2</TotalTime>
  <ScaleCrop>false</ScaleCrop>
  <LinksUpToDate>false</LinksUpToDate>
  <CharactersWithSpaces>498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2023-09-11T06:44:00Z</dcterms:created>
  <dc:creator>麻丹青</dc:creator>
  <cp:lastModifiedBy>Why</cp:lastModifiedBy>
  <dcterms:modified xsi:type="dcterms:W3CDTF">2025-04-03T07:00:54Z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D7F0888DAF2F4BE2B9D26708BF6157EA_13</vt:lpwstr>
  </property>
  <property fmtid="{D5CDD505-2E9C-101B-9397-08002B2CF9AE}" pid="4" name="KSOTemplateDocerSaveRecord">
    <vt:lpwstr>eyJoZGlkIjoiYTJlZmE4ZTQyZWE1Y2Y3ZjJhYTc0NTBiZmQ1YTY0NDkiLCJ1c2VySWQiOiI2Njc2NTg1NjUifQ==</vt:lpwstr>
  </property>
</Properties>
</file>